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25D22E"/>
    <w:p w14:paraId="48ADEDAC">
      <w:pPr>
        <w:spacing w:line="640" w:lineRule="exact"/>
        <w:jc w:val="both"/>
        <w:rPr>
          <w:rFonts w:hint="eastAsia" w:ascii="仿宋_GB2312" w:hAnsi="方正大标宋简体" w:eastAsia="仿宋_GB2312"/>
          <w:color w:val="FF0000"/>
          <w:sz w:val="32"/>
          <w:szCs w:val="32"/>
        </w:rPr>
      </w:pPr>
    </w:p>
    <w:p w14:paraId="4FB9D1B6">
      <w:pPr>
        <w:spacing w:line="640" w:lineRule="exact"/>
        <w:jc w:val="center"/>
        <w:rPr>
          <w:rFonts w:hint="eastAsia" w:ascii="仿宋_GB2312" w:hAnsi="方正大标宋简体" w:eastAsia="仿宋_GB2312"/>
          <w:color w:val="FF0000"/>
          <w:sz w:val="32"/>
          <w:szCs w:val="32"/>
        </w:rPr>
      </w:pPr>
    </w:p>
    <w:p w14:paraId="28B40F5B">
      <w:pPr>
        <w:spacing w:line="640" w:lineRule="exact"/>
        <w:jc w:val="center"/>
        <w:rPr>
          <w:rFonts w:hint="eastAsia" w:ascii="仿宋_GB2312" w:hAnsi="方正大标宋简体" w:eastAsia="仿宋_GB2312"/>
          <w:color w:val="FF0000"/>
          <w:sz w:val="32"/>
          <w:szCs w:val="32"/>
        </w:rPr>
      </w:pPr>
    </w:p>
    <w:p w14:paraId="6B5A53B1">
      <w:pPr>
        <w:spacing w:line="640" w:lineRule="exact"/>
        <w:jc w:val="center"/>
        <w:rPr>
          <w:rFonts w:hint="eastAsia" w:ascii="仿宋_GB2312" w:hAnsi="方正大标宋简体" w:eastAsia="仿宋_GB2312"/>
          <w:color w:val="FF0000"/>
          <w:sz w:val="32"/>
          <w:szCs w:val="32"/>
        </w:rPr>
      </w:pPr>
    </w:p>
    <w:p w14:paraId="02D1F962">
      <w:pPr>
        <w:spacing w:line="640" w:lineRule="exact"/>
        <w:jc w:val="center"/>
        <w:rPr>
          <w:rFonts w:hint="eastAsia" w:ascii="仿宋_GB2312" w:hAnsi="方正大标宋简体" w:eastAsia="仿宋_GB2312"/>
          <w:color w:val="FF0000"/>
          <w:sz w:val="32"/>
          <w:szCs w:val="32"/>
        </w:rPr>
      </w:pPr>
    </w:p>
    <w:p w14:paraId="0C3AFCC7">
      <w:pPr>
        <w:spacing w:line="640" w:lineRule="exact"/>
        <w:jc w:val="center"/>
        <w:rPr>
          <w:rFonts w:hint="eastAsia" w:ascii="仿宋_GB2312" w:hAnsi="方正大标宋简体" w:eastAsia="仿宋_GB2312"/>
          <w:color w:val="FF0000"/>
          <w:sz w:val="32"/>
          <w:szCs w:val="32"/>
        </w:rPr>
      </w:pPr>
    </w:p>
    <w:p w14:paraId="539A38A6">
      <w:pPr>
        <w:spacing w:line="640" w:lineRule="exact"/>
        <w:jc w:val="center"/>
        <w:rPr>
          <w:rFonts w:hint="eastAsia" w:ascii="仿宋" w:hAnsi="仿宋" w:eastAsia="仿宋" w:cs="仿宋"/>
          <w:color w:val="FF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隰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发改发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〔20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26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〕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10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号</w:t>
      </w:r>
    </w:p>
    <w:p w14:paraId="78C8CBC3">
      <w:pPr>
        <w:jc w:val="center"/>
        <w:rPr>
          <w:rFonts w:ascii="仿宋" w:hAnsi="仿宋" w:eastAsia="仿宋" w:cs="宋体"/>
          <w:sz w:val="32"/>
          <w:szCs w:val="32"/>
        </w:rPr>
      </w:pPr>
      <w:r>
        <w:rPr>
          <w:rFonts w:ascii="方正大标宋简体" w:hAnsi="方正大标宋简体" w:eastAsia="方正大标宋简体"/>
          <w:color w:val="FF0000"/>
          <w:sz w:val="90"/>
          <w:szCs w:val="9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-71755</wp:posOffset>
                </wp:positionH>
                <wp:positionV relativeFrom="paragraph">
                  <wp:posOffset>114935</wp:posOffset>
                </wp:positionV>
                <wp:extent cx="5579745" cy="0"/>
                <wp:effectExtent l="0" t="19050" r="13335" b="26670"/>
                <wp:wrapNone/>
                <wp:docPr id="41" name="直线 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79745" cy="0"/>
                        </a:xfrm>
                        <a:prstGeom prst="line">
                          <a:avLst/>
                        </a:prstGeom>
                        <a:ln w="38100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110" o:spid="_x0000_s1026" o:spt="20" style="position:absolute;left:0pt;margin-left:-5.65pt;margin-top:9.05pt;height:0pt;width:439.35pt;z-index:251660288;mso-width-relative:page;mso-height-relative:page;" filled="f" stroked="t" coordsize="21600,21600" o:gfxdata="UEsDBAoAAAAAAIdO4kAAAAAAAAAAAAAAAAAEAAAAZHJzL1BLAwQUAAAACACHTuJArSbiSNoAAAAJ&#10;AQAADwAAAGRycy9kb3ducmV2LnhtbE2PwUrDQBCG74LvsIzgRdrNqrQhZlNEEKs9WFNBvG2TMQnN&#10;zsbdTVvf3hEPepz5P/75Jl8cbS/26EPnSIOaJiCQKld31Gh43dxPUhAhGqpN7wg1fGGARXF6kpus&#10;dgd6wX0ZG8ElFDKjoY1xyKQMVYvWhKkbkDj7cN6ayKNvZO3NgcttLy+TZCat6YgvtGbAuxarXTla&#10;DfbZ3sr31cNY+vXj09vnarneXSy1Pj9TyQ2IiMf4B8OPPqtDwU5bN1IdRK9hotQVoxykCgQD6Wx+&#10;DWL7u5BFLv9/UHwDUEsDBBQAAAAIAIdO4kA+D/7R7gEAAN8DAAAOAAAAZHJzL2Uyb0RvYy54bWyt&#10;U0tu2zAQ3RfoHQjua0lp3KSC5SziupuiNZD2ADQ/EgH+wKEt+yy9Rlfd9Di5Roe0YzfJxotqQQ05&#10;wzfz3gxndztryFZG0N51tJnUlEjHvdCu7+iP78t3t5RAYk4w453s6F4CvZu/fTMbQyuv/OCNkJEg&#10;iIN2DB0dUgptVQEfpGUw8UE6dCofLUu4jX0lIhsR3Zrqqq4/VKOPIkTPJQCeLg5OekSMlwB6pTSX&#10;C883Vrp0QI3SsISUYNAB6LxUq5Tk6ZtSIBMxHUWmqayYBO11Xqv5jLV9ZGHQ/FgCu6SEF5ws0w6T&#10;nqAWLDGyifoVlNU8evAqTbi31YFIUQRZNPULbR4GFmThglJDOIkO/w+Wf92uItGio9cNJY5Z7Pjj&#10;z1+Pv/+QpinyjAFajLp3q4hi5R2EVcxcdyra/EcWZFck3Z8klbtEOB5Opzcfb66nlPAnX3W+GCKk&#10;z9Jbko2OGu0yW9ay7RdImAxDn0LysXFk7Oj726bG7nGGs6ew52jagPWD68tl8EaLpTYmX4HYr+9N&#10;JFuG/V8ua/xyyxH4WVjOsmAwHOKK6zAZg2TikxMk7QMK4/BB0FyDlYISI/H9ZKvMUGLaXBKJqY3D&#10;Cs5CZmvtxR77sAlR9wNK0ZQqswf7Xuo9zmgerH/3Ben8Lud/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K0m4kjaAAAACQEAAA8AAAAAAAAAAQAgAAAAIgAAAGRycy9kb3ducmV2LnhtbFBLAQIUABQA&#10;AAAIAIdO4kA+D/7R7gEAAN8DAAAOAAAAAAAAAAEAIAAAACkBAABkcnMvZTJvRG9jLnhtbFBLBQYA&#10;AAAABgAGAFkBAACJBQAAAAA=&#10;">
                <v:fill on="f" focussize="0,0"/>
                <v:stroke weight="3pt" color="#FF0000" joinstyle="round"/>
                <v:imagedata o:title=""/>
                <o:lock v:ext="edit" aspectratio="f"/>
              </v:line>
            </w:pict>
          </mc:Fallback>
        </mc:AlternateContent>
      </w:r>
    </w:p>
    <w:p w14:paraId="309CDBAD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jc w:val="center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隰县发展和改革局</w:t>
      </w:r>
    </w:p>
    <w:p w14:paraId="6BCA7C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40" w:lineRule="exact"/>
        <w:jc w:val="center"/>
        <w:rPr>
          <w:rFonts w:hint="eastAsia" w:ascii="宋体" w:hAnsi="宋体" w:eastAsia="宋体" w:cs="宋体"/>
          <w:b/>
          <w:snapToGrid w:val="0"/>
          <w:color w:val="000000"/>
          <w:kern w:val="44"/>
          <w:sz w:val="44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/>
          <w:snapToGrid w:val="0"/>
          <w:color w:val="000000"/>
          <w:kern w:val="44"/>
          <w:sz w:val="44"/>
          <w:szCs w:val="21"/>
          <w:lang w:val="en-US" w:eastAsia="zh-CN" w:bidi="ar-SA"/>
        </w:rPr>
        <w:t>2025年政府信息公开工作年报</w:t>
      </w:r>
    </w:p>
    <w:p w14:paraId="6A8340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40" w:lineRule="exact"/>
        <w:ind w:firstLine="632" w:firstLineChars="200"/>
        <w:jc w:val="both"/>
        <w:outlineLvl w:val="1"/>
        <w:rPr>
          <w:rFonts w:ascii="黑体" w:hAnsi="黑体" w:eastAsia="黑体" w:cs="黑体"/>
          <w:spacing w:val="-2"/>
          <w:sz w:val="32"/>
          <w:szCs w:val="32"/>
          <w14:textOutline w14:w="4356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</w:pPr>
    </w:p>
    <w:p w14:paraId="00632919">
      <w:pPr>
        <w:spacing w:line="620" w:lineRule="exact"/>
        <w:ind w:firstLine="640" w:firstLineChars="200"/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根据《中华人民共和国政府信息公开条例》（国务院令711号）（以下简称条例）规定和《中华人民共和国政府信息公开工作年度报告格式》（国办公开办函〔2021〕30号）要求，现将</w:t>
      </w: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（单位名称）</w:t>
      </w:r>
      <w:r>
        <w:rPr>
          <w:rFonts w:hint="eastAsia" w:ascii="仿宋" w:hAnsi="仿宋" w:eastAsia="仿宋" w:cs="仿宋"/>
          <w:kern w:val="0"/>
          <w:sz w:val="32"/>
          <w:szCs w:val="32"/>
        </w:rPr>
        <w:t>202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kern w:val="0"/>
          <w:sz w:val="32"/>
          <w:szCs w:val="32"/>
        </w:rPr>
        <w:t>年政府信息公开年度报告向社会公布。本报告由总体情况、主动公开政府信息情况、收到和处理政府信息公开申请情况等六个部分组成。本报告中所列数据的统计期限自202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kern w:val="0"/>
          <w:sz w:val="32"/>
          <w:szCs w:val="32"/>
        </w:rPr>
        <w:t>年1月1日至202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kern w:val="0"/>
          <w:sz w:val="32"/>
          <w:szCs w:val="32"/>
        </w:rPr>
        <w:t>年12月31日止。</w:t>
      </w:r>
    </w:p>
    <w:p w14:paraId="0F870D0A">
      <w:pPr>
        <w:spacing w:line="620" w:lineRule="exact"/>
        <w:ind w:firstLine="643" w:firstLineChars="200"/>
        <w:rPr>
          <w:rFonts w:hint="eastAsia" w:ascii="黑体" w:hAnsi="黑体" w:eastAsia="黑体" w:cs="黑体"/>
          <w:b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/>
          <w:sz w:val="32"/>
          <w:szCs w:val="32"/>
          <w:lang w:eastAsia="zh-CN"/>
        </w:rPr>
        <w:t>一、总体情况</w:t>
      </w:r>
    </w:p>
    <w:p w14:paraId="220B4D80">
      <w:pPr>
        <w:pageBreakBefore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202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5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年，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隰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县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发改和改革局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认真贯彻落实县政府关于政府信息公开工作的有关要求，遵循合法、准确、及时、便民的原则，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强化责任意识，加强组织领导，与业务工作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同部署、同落实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，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扎实推进政府信息公开工作，进一步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健全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完善工作机制，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及时更新信息，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公开内容和形式进一步深化。</w:t>
      </w:r>
    </w:p>
    <w:p w14:paraId="48324A36">
      <w:pPr>
        <w:pStyle w:val="2"/>
        <w:rPr>
          <w:rFonts w:hint="eastAsia"/>
          <w:lang w:val="en-US" w:eastAsia="zh-CN"/>
        </w:rPr>
      </w:pPr>
    </w:p>
    <w:p w14:paraId="332A2413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420"/>
        <w:jc w:val="both"/>
        <w:textAlignment w:val="auto"/>
        <w:rPr>
          <w:rFonts w:hint="eastAsia" w:ascii="黑体" w:hAnsi="黑体" w:eastAsia="黑体" w:cs="黑体"/>
          <w:b w:val="0"/>
          <w:bCs/>
          <w:i w:val="0"/>
          <w:caps w:val="0"/>
          <w:color w:val="000000"/>
          <w:spacing w:val="0"/>
          <w:sz w:val="24"/>
          <w:szCs w:val="24"/>
          <w:shd w:val="clear" w:color="auto" w:fill="FFFFFF"/>
        </w:rPr>
      </w:pPr>
      <w:r>
        <w:rPr>
          <w:rFonts w:hint="eastAsia" w:ascii="黑体" w:hAnsi="黑体" w:eastAsia="黑体" w:cs="黑体"/>
          <w:b w:val="0"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二、主动公开政府信息情况</w:t>
      </w:r>
    </w:p>
    <w:tbl>
      <w:tblPr>
        <w:tblStyle w:val="9"/>
        <w:tblW w:w="934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335"/>
        <w:gridCol w:w="2335"/>
        <w:gridCol w:w="2335"/>
        <w:gridCol w:w="2335"/>
      </w:tblGrid>
      <w:tr w14:paraId="171364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934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left w:w="57" w:type="dxa"/>
              <w:right w:w="57" w:type="dxa"/>
            </w:tcMar>
            <w:vAlign w:val="center"/>
          </w:tcPr>
          <w:p w14:paraId="56EED6F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第二十条第（一）项</w:t>
            </w:r>
          </w:p>
        </w:tc>
      </w:tr>
      <w:tr w14:paraId="2B6075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23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0D90BE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23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4DFF37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本年制发件数</w:t>
            </w:r>
          </w:p>
        </w:tc>
        <w:tc>
          <w:tcPr>
            <w:tcW w:w="23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78D86D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本年废止件数</w:t>
            </w:r>
          </w:p>
        </w:tc>
        <w:tc>
          <w:tcPr>
            <w:tcW w:w="23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52E797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现行有效件数</w:t>
            </w:r>
          </w:p>
        </w:tc>
      </w:tr>
      <w:tr w14:paraId="293DCB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23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4B575E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规章</w:t>
            </w:r>
          </w:p>
        </w:tc>
        <w:tc>
          <w:tcPr>
            <w:tcW w:w="23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B58A0C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23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45E599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23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6600CB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</w:tr>
      <w:tr w14:paraId="6F91B4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23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122AD6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行政规范性文件</w:t>
            </w:r>
          </w:p>
        </w:tc>
        <w:tc>
          <w:tcPr>
            <w:tcW w:w="23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4392AC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23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20DCF1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23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B24877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</w:tr>
      <w:tr w14:paraId="089ECE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93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left w:w="57" w:type="dxa"/>
              <w:right w:w="57" w:type="dxa"/>
            </w:tcMar>
            <w:vAlign w:val="center"/>
          </w:tcPr>
          <w:p w14:paraId="205FFA6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第二十条第（五）项</w:t>
            </w:r>
          </w:p>
        </w:tc>
      </w:tr>
      <w:tr w14:paraId="217AA9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23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C5A521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70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B28AE9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本年处理决定数量</w:t>
            </w:r>
          </w:p>
        </w:tc>
      </w:tr>
      <w:tr w14:paraId="3C0128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23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359237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行政许可</w:t>
            </w:r>
          </w:p>
        </w:tc>
        <w:tc>
          <w:tcPr>
            <w:tcW w:w="70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FE5316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0 </w:t>
            </w:r>
          </w:p>
        </w:tc>
      </w:tr>
      <w:tr w14:paraId="469199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93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left w:w="57" w:type="dxa"/>
              <w:right w:w="57" w:type="dxa"/>
            </w:tcMar>
            <w:vAlign w:val="center"/>
          </w:tcPr>
          <w:p w14:paraId="7F27712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第二十条第（六）项</w:t>
            </w:r>
          </w:p>
        </w:tc>
      </w:tr>
      <w:tr w14:paraId="7594B8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23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8D6BF2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7005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965EE1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本年处理决定数量</w:t>
            </w:r>
          </w:p>
        </w:tc>
      </w:tr>
      <w:tr w14:paraId="6D33BE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23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78B1C5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行政处罚</w:t>
            </w:r>
          </w:p>
        </w:tc>
        <w:tc>
          <w:tcPr>
            <w:tcW w:w="70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2A08F2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35E83A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23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936A61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行政强制</w:t>
            </w:r>
          </w:p>
        </w:tc>
        <w:tc>
          <w:tcPr>
            <w:tcW w:w="70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5C888F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3E3CCC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93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left w:w="57" w:type="dxa"/>
              <w:right w:w="57" w:type="dxa"/>
            </w:tcMar>
            <w:vAlign w:val="center"/>
          </w:tcPr>
          <w:p w14:paraId="73A19B5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第二十条第（八）项</w:t>
            </w:r>
          </w:p>
        </w:tc>
      </w:tr>
      <w:tr w14:paraId="5605C7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23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AD89A3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7005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F566A4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本年收费金额（单位：万元）</w:t>
            </w:r>
          </w:p>
        </w:tc>
      </w:tr>
      <w:tr w14:paraId="18DA01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1" w:hRule="atLeast"/>
          <w:jc w:val="center"/>
        </w:trPr>
        <w:tc>
          <w:tcPr>
            <w:tcW w:w="23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96AFDB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行政事业性收费</w:t>
            </w:r>
          </w:p>
        </w:tc>
        <w:tc>
          <w:tcPr>
            <w:tcW w:w="7005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09629AA">
            <w:pPr>
              <w:jc w:val="center"/>
              <w:rPr>
                <w:rFonts w:hint="default" w:ascii="宋体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eastAsia="宋体"/>
                <w:color w:val="000000"/>
                <w:sz w:val="24"/>
                <w:szCs w:val="24"/>
                <w:lang w:val="en-US" w:eastAsia="zh-CN"/>
              </w:rPr>
              <w:t>0</w:t>
            </w:r>
          </w:p>
        </w:tc>
      </w:tr>
    </w:tbl>
    <w:p w14:paraId="1B900076">
      <w:pPr>
        <w:keepNext w:val="0"/>
        <w:keepLines w:val="0"/>
        <w:widowControl/>
        <w:suppressLineNumbers w:val="0"/>
        <w:jc w:val="left"/>
        <w:rPr>
          <w:color w:val="000000"/>
        </w:rPr>
      </w:pPr>
    </w:p>
    <w:p w14:paraId="0887C8AB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420"/>
        <w:jc w:val="both"/>
        <w:textAlignment w:val="auto"/>
        <w:rPr>
          <w:rFonts w:hint="eastAsia" w:ascii="黑体" w:hAnsi="黑体" w:eastAsia="黑体" w:cs="黑体"/>
          <w:b w:val="0"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</w:rPr>
      </w:pPr>
    </w:p>
    <w:p w14:paraId="293EA4C4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420"/>
        <w:jc w:val="both"/>
        <w:textAlignment w:val="auto"/>
        <w:rPr>
          <w:rFonts w:hint="eastAsia" w:ascii="黑体" w:hAnsi="黑体" w:eastAsia="黑体" w:cs="黑体"/>
          <w:b w:val="0"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</w:rPr>
      </w:pPr>
      <w:r>
        <w:rPr>
          <w:rFonts w:hint="eastAsia" w:ascii="黑体" w:hAnsi="黑体" w:eastAsia="黑体" w:cs="黑体"/>
          <w:b w:val="0"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三、收到和处理政府信息公开申请情况</w:t>
      </w:r>
    </w:p>
    <w:tbl>
      <w:tblPr>
        <w:tblStyle w:val="9"/>
        <w:tblW w:w="9546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75"/>
        <w:gridCol w:w="953"/>
        <w:gridCol w:w="3259"/>
        <w:gridCol w:w="695"/>
        <w:gridCol w:w="695"/>
        <w:gridCol w:w="695"/>
        <w:gridCol w:w="695"/>
        <w:gridCol w:w="695"/>
        <w:gridCol w:w="584"/>
        <w:gridCol w:w="500"/>
      </w:tblGrid>
      <w:tr w14:paraId="63F06549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4987" w:type="dxa"/>
            <w:gridSpan w:val="3"/>
            <w:vMerge w:val="restart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EF1503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  <w:kern w:val="0"/>
                <w:sz w:val="20"/>
                <w:szCs w:val="20"/>
                <w:lang w:val="en-US" w:eastAsia="zh-CN" w:bidi="ar"/>
              </w:rPr>
              <w:t>（本列数据的勾稽关系为：第一项加第二项之和，等于第三项加第四项之和）</w:t>
            </w:r>
          </w:p>
        </w:tc>
        <w:tc>
          <w:tcPr>
            <w:tcW w:w="4559" w:type="dxa"/>
            <w:gridSpan w:val="7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BC71AC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申请人情况</w:t>
            </w:r>
          </w:p>
        </w:tc>
      </w:tr>
      <w:tr w14:paraId="439A0E26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4987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4025968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695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CD4657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自然人</w:t>
            </w:r>
          </w:p>
        </w:tc>
        <w:tc>
          <w:tcPr>
            <w:tcW w:w="3364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F4FE3F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法人或其他组织</w:t>
            </w:r>
          </w:p>
        </w:tc>
        <w:tc>
          <w:tcPr>
            <w:tcW w:w="500" w:type="dxa"/>
            <w:vMerge w:val="restart"/>
            <w:tcBorders>
              <w:top w:val="single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FEB1E5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</w:tr>
      <w:tr w14:paraId="0DE50C2B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7" w:hRule="atLeast"/>
          <w:jc w:val="center"/>
        </w:trPr>
        <w:tc>
          <w:tcPr>
            <w:tcW w:w="4987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4A90BF7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695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058501A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0530E2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商业</w:t>
            </w:r>
          </w:p>
          <w:p w14:paraId="7D08F47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企业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0D4470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科研</w:t>
            </w:r>
          </w:p>
          <w:p w14:paraId="19792A3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机构</w:t>
            </w:r>
          </w:p>
        </w:tc>
        <w:tc>
          <w:tcPr>
            <w:tcW w:w="69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8EB3FB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社会公益组织</w:t>
            </w:r>
          </w:p>
        </w:tc>
        <w:tc>
          <w:tcPr>
            <w:tcW w:w="69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66EF81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法律服务机构</w:t>
            </w:r>
          </w:p>
        </w:tc>
        <w:tc>
          <w:tcPr>
            <w:tcW w:w="58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2158ED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其他</w:t>
            </w:r>
          </w:p>
        </w:tc>
        <w:tc>
          <w:tcPr>
            <w:tcW w:w="500" w:type="dxa"/>
            <w:vMerge w:val="continue"/>
            <w:tcBorders>
              <w:top w:val="single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206029B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</w:tr>
      <w:tr w14:paraId="59F98DB6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7" w:hRule="atLeast"/>
          <w:jc w:val="center"/>
        </w:trPr>
        <w:tc>
          <w:tcPr>
            <w:tcW w:w="4987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D1A56B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一、本年新收政府信息公开申请数量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34AFC5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2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45E713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B69EFD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757DDD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5EC3D3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5E6232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7487BC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2</w:t>
            </w:r>
          </w:p>
        </w:tc>
      </w:tr>
      <w:tr w14:paraId="71375E72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4987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0B52E4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二、上年结转政府信息公开申请数量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1CAD18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825C1B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26A530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14131A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2F9C4B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F073B8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0E8049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3A53774B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restart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7A0B47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三、本年度办理结果</w:t>
            </w:r>
          </w:p>
        </w:tc>
        <w:tc>
          <w:tcPr>
            <w:tcW w:w="421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64FA1B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（一）予以公开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D1C2EC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2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5844D4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8706F3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6BCE62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378561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669BCB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18CE3A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2</w:t>
            </w:r>
          </w:p>
        </w:tc>
      </w:tr>
      <w:tr w14:paraId="1DECC7EC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9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1ACA258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421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B54F6E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（二）部分公开</w:t>
            </w: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20"/>
                <w:lang w:val="en-US" w:eastAsia="zh-CN" w:bidi="ar"/>
              </w:rPr>
              <w:t>（区分处理的，只计这一情形，不计其他情形）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11756E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874934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F300C0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9D8162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149768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0831D3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EC9DD6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773B535A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9F1AC1B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58D5F8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（三）不予公开</w:t>
            </w: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0CBA5F7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1.属于国家秘密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41DF01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589B20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73FDB6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775C8E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D1D8BB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AF2321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DE0228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74C0D49A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90B8244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9CBB0D4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39E2A03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2.其他法律行政法规禁止公开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2C6CB1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019208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42DE92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92451A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78D471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3F69D4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1787CB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7F4AAEC0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348021F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5365BC9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5D9BDF6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3.危及“三安全一稳定”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024DAA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354B1E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28C6D4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A4538F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C3190D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1DD6DF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BB42A1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486AEA71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71040DC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1445DF4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40FAD52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4.保护第三方合法权益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68DB1F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2B5A0B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0A22B1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EDDA25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701380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00C6D1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EAFBCC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41BF100A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9FF0951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9ACD2F5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5D7236E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5.属于三类内部事务信息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CEA44C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2DA809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AF6D73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25D899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2E9FF6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459CAC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904B86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44535F46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3259123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39BA918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3E48FDD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6.属于四类过程性信息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C649FC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E441DB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4100AE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B4D340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0B4770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D9770C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D65014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5AAB50F8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6966405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7B53E3A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14DD9D7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7.属于行政执法案卷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0D6215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609964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008B7D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D5C182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747C18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EBC056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5AD9CA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13FC87F1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1B25E75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5353283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4464CE9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8.属于行政查询事项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7A5389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8435E4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5AB3A4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969C53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1FD9EF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893B8E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CB5ABE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5CCC6F5E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412D545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18F541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（四）无法提供</w:t>
            </w: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3D2B014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1.本机关不掌握相关政府信息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86B9E0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98D64F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0AAB77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EA071C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D61227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E493C1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644FBC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1AC83F99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12C46D0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44D9E8E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38FDC40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2.没有现成信息需要另行制作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DEA224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EAE477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E9A0CD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1EF867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4D36B6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50245A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AA478D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0F83DF2A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903A98D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BC4BD93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510747C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3.补正后申请内容仍不明确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5D48C2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D2AE11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47E173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AE7FC1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999991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FED676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E8A723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4CAE6FC9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F738854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A91B90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（五）不予处理</w:t>
            </w: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002298F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1.信访举报投诉类申请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DFD354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F2183A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C1A91B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8049B8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36D128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9DF97E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9EAFA6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19ECB0C6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A955C63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2ADDA2B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4193323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2.重复申请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EC10CE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4061A6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5D65C9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10DF9B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A4551C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5848BA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2AAFF7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4AF99C16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02E997C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EA2223C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589BF02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3.要求提供公开出版物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9502E8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2DEF86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C66797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DD0AA9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3000D5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B69790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150133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4BE564DF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C2FF84B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5DBB432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1ADDCF5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4.无正当理由大量反复申请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EF85F6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33ACEB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8C0957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A4D94D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D5EB16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E46816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0C19ED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728AF504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7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5EA8424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3CA7EB5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7EF3BA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5.要求行政机关确认或重新出具已获取信息</w:t>
            </w:r>
          </w:p>
        </w:tc>
        <w:tc>
          <w:tcPr>
            <w:tcW w:w="695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46C7A6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89FF23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8C958F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0F6DB1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488B8A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AF6C98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5E6B93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50625C75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7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F5AA9C6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restart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0A5CBD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（六）其他处理</w:t>
            </w: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7661C6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1.申请人无正当理由逾期不补正、行政机关不再处理其政府信息公开申请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9EBCA9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89301E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E5E10D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1324AA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5353B9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FAF4E4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6254CC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7FE811D9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7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0984867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6276050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6118EF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2.申请人逾期未按收费通知要求缴纳费用、行政机关不再处理其政府信息公开申请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F640FD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3492BA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6B6F3E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9BD3F0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A0F9FD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19B264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811C4B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07AF5500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2503488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0CBFCB5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AF9270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3.其他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910DD6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A6F635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B7594E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70C1F1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157687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612F1A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0229A7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737BA9B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83105E1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421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AAA40B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（七）总计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912705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2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9B14D3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39BE5B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652499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BB1AC5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DFFC36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6D2A4E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2</w:t>
            </w:r>
            <w:bookmarkStart w:id="0" w:name="_GoBack"/>
            <w:bookmarkEnd w:id="0"/>
          </w:p>
        </w:tc>
      </w:tr>
      <w:tr w14:paraId="244762F2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6" w:hRule="atLeast"/>
          <w:jc w:val="center"/>
        </w:trPr>
        <w:tc>
          <w:tcPr>
            <w:tcW w:w="4987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CA33A8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四、结转下年度继续办理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153080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5FEFD5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E737DD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9F85C7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CCAFC5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AC7616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3B5122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</w:tbl>
    <w:p w14:paraId="3EC0643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/>
        <w:ind w:left="0" w:right="0" w:firstLine="0"/>
        <w:jc w:val="both"/>
        <w:rPr>
          <w:rFonts w:hint="eastAsia" w:ascii="宋体" w:hAnsi="宋体" w:eastAsia="宋体" w:cs="宋体"/>
          <w:i w:val="0"/>
          <w:caps w:val="0"/>
          <w:color w:val="000000"/>
          <w:spacing w:val="0"/>
          <w:sz w:val="24"/>
          <w:szCs w:val="24"/>
        </w:rPr>
      </w:pPr>
    </w:p>
    <w:p w14:paraId="5B06A04F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420"/>
        <w:jc w:val="both"/>
        <w:textAlignment w:val="auto"/>
        <w:rPr>
          <w:rFonts w:hint="eastAsia" w:ascii="黑体" w:hAnsi="黑体" w:eastAsia="黑体" w:cs="黑体"/>
          <w:b w:val="0"/>
          <w:bCs/>
          <w:i w:val="0"/>
          <w:caps w:val="0"/>
          <w:color w:val="000000"/>
          <w:spacing w:val="0"/>
          <w:sz w:val="24"/>
          <w:szCs w:val="24"/>
          <w:shd w:val="clear" w:color="auto" w:fill="FFFFFF"/>
        </w:rPr>
      </w:pPr>
      <w:r>
        <w:rPr>
          <w:rFonts w:hint="eastAsia" w:ascii="黑体" w:hAnsi="黑体" w:eastAsia="黑体" w:cs="黑体"/>
          <w:b w:val="0"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四、政府信息公开行政复议、行政诉讼情况</w:t>
      </w:r>
    </w:p>
    <w:tbl>
      <w:tblPr>
        <w:tblStyle w:val="9"/>
        <w:tblW w:w="9799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52"/>
        <w:gridCol w:w="652"/>
        <w:gridCol w:w="652"/>
        <w:gridCol w:w="652"/>
        <w:gridCol w:w="654"/>
        <w:gridCol w:w="652"/>
        <w:gridCol w:w="652"/>
        <w:gridCol w:w="653"/>
        <w:gridCol w:w="653"/>
        <w:gridCol w:w="655"/>
        <w:gridCol w:w="654"/>
        <w:gridCol w:w="654"/>
        <w:gridCol w:w="654"/>
        <w:gridCol w:w="654"/>
        <w:gridCol w:w="656"/>
      </w:tblGrid>
      <w:tr w14:paraId="3EC5EFE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7" w:hRule="atLeast"/>
          <w:jc w:val="center"/>
        </w:trPr>
        <w:tc>
          <w:tcPr>
            <w:tcW w:w="3262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9DBE86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行政复议</w:t>
            </w:r>
          </w:p>
        </w:tc>
        <w:tc>
          <w:tcPr>
            <w:tcW w:w="6537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AB2175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行政诉讼</w:t>
            </w:r>
          </w:p>
        </w:tc>
      </w:tr>
      <w:tr w14:paraId="19B28BC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7" w:hRule="atLeast"/>
          <w:jc w:val="center"/>
        </w:trPr>
        <w:tc>
          <w:tcPr>
            <w:tcW w:w="652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76AC74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结果维持</w:t>
            </w:r>
          </w:p>
        </w:tc>
        <w:tc>
          <w:tcPr>
            <w:tcW w:w="652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AF0B3A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  <w:p w14:paraId="0A70ADD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52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9EA19A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其他</w:t>
            </w:r>
          </w:p>
          <w:p w14:paraId="4859664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52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0CBA7F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尚未</w:t>
            </w:r>
          </w:p>
          <w:p w14:paraId="33A3886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654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796BBF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  <w:tc>
          <w:tcPr>
            <w:tcW w:w="3265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C6A6AC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未经复议直接起诉</w:t>
            </w:r>
          </w:p>
        </w:tc>
        <w:tc>
          <w:tcPr>
            <w:tcW w:w="3272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0CAFED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复议后起诉</w:t>
            </w:r>
          </w:p>
        </w:tc>
      </w:tr>
      <w:tr w14:paraId="61EB2DFD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3" w:hRule="atLeast"/>
          <w:jc w:val="center"/>
        </w:trPr>
        <w:tc>
          <w:tcPr>
            <w:tcW w:w="652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822E454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652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B9BDD7F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652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345DC48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652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4E1A288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654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1E518E6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65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CFF090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  <w:p w14:paraId="76F7486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维持</w:t>
            </w:r>
          </w:p>
        </w:tc>
        <w:tc>
          <w:tcPr>
            <w:tcW w:w="65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6BCAA5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  <w:p w14:paraId="437344B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5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AF2EE7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其他</w:t>
            </w:r>
          </w:p>
          <w:p w14:paraId="5843DA6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5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91D402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尚未</w:t>
            </w:r>
          </w:p>
          <w:p w14:paraId="14082E8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6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685167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  <w:tc>
          <w:tcPr>
            <w:tcW w:w="65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86D450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  <w:p w14:paraId="78989DB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维持</w:t>
            </w:r>
          </w:p>
        </w:tc>
        <w:tc>
          <w:tcPr>
            <w:tcW w:w="65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3FA1D8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  <w:p w14:paraId="31D912F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5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E2D7D0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其他</w:t>
            </w:r>
          </w:p>
          <w:p w14:paraId="59FF10A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5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E13595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尚未</w:t>
            </w:r>
          </w:p>
          <w:p w14:paraId="0DE7BCF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65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3330D8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</w:tr>
      <w:tr w14:paraId="071557B8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4" w:hRule="atLeast"/>
          <w:jc w:val="center"/>
        </w:trPr>
        <w:tc>
          <w:tcPr>
            <w:tcW w:w="65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0A2456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eastAsia="宋体"/>
                <w:color w:val="000000"/>
                <w:lang w:val="en-US" w:eastAsia="zh-CN"/>
              </w:rPr>
            </w:pPr>
            <w:r>
              <w:rPr>
                <w:rFonts w:hint="eastAsia" w:eastAsia="宋体"/>
                <w:color w:val="000000"/>
                <w:lang w:val="en-US" w:eastAsia="zh-CN"/>
              </w:rPr>
              <w:t>1</w:t>
            </w:r>
          </w:p>
        </w:tc>
        <w:tc>
          <w:tcPr>
            <w:tcW w:w="65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BC5A4B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C3141F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5A2C91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CBF015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65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14E97E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BECA85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024DCB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869D6C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DFA9C6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4867CC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219184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45C8D0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517A52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C0BBC77">
            <w:pPr>
              <w:jc w:val="center"/>
              <w:rPr>
                <w:rFonts w:hint="eastAsia" w:ascii="宋体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eastAsia="宋体"/>
                <w:color w:val="000000"/>
                <w:sz w:val="24"/>
                <w:szCs w:val="24"/>
                <w:lang w:val="en-US" w:eastAsia="zh-CN"/>
              </w:rPr>
              <w:t>0</w:t>
            </w:r>
          </w:p>
        </w:tc>
      </w:tr>
    </w:tbl>
    <w:p w14:paraId="69EEAF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firstLine="640" w:firstLineChars="200"/>
        <w:jc w:val="both"/>
        <w:outlineLvl w:val="1"/>
        <w:rPr>
          <w:rFonts w:hint="eastAsia" w:ascii="黑体" w:hAnsi="黑体" w:eastAsia="黑体" w:cs="黑体"/>
          <w:snapToGrid/>
          <w:kern w:val="2"/>
          <w:sz w:val="32"/>
          <w:szCs w:val="32"/>
        </w:rPr>
      </w:pPr>
      <w:r>
        <w:rPr>
          <w:rFonts w:hint="eastAsia" w:ascii="黑体" w:hAnsi="黑体" w:eastAsia="黑体" w:cs="黑体"/>
          <w:snapToGrid/>
          <w:kern w:val="2"/>
          <w:sz w:val="32"/>
          <w:szCs w:val="32"/>
        </w:rPr>
        <w:t>五、存在的主要问题及改进情况</w:t>
      </w:r>
    </w:p>
    <w:p w14:paraId="31993633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 w:rightChars="0" w:firstLine="643" w:firstLineChars="20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32"/>
          <w:szCs w:val="32"/>
          <w:lang w:val="en-US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一</w:t>
      </w: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存在的主要问题：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政务公开有待于规范，有时更新不及时，缺乏时效性；宣传力度不够，与服务对象互动性不高。</w:t>
      </w:r>
    </w:p>
    <w:p w14:paraId="635C63F5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42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eastAsia="zh-CN"/>
          <w14:textFill>
            <w14:solidFill>
              <w14:schemeClr w14:val="tx1"/>
            </w14:solidFill>
          </w14:textFill>
        </w:rPr>
        <w:t>　</w:t>
      </w: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（二）改进情况</w:t>
      </w: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eastAsia="zh-CN"/>
          <w14:textFill>
            <w14:solidFill>
              <w14:schemeClr w14:val="tx1"/>
            </w14:solidFill>
          </w14:textFill>
        </w:rPr>
        <w:t>针对以上问题，主要采取以下改进措施：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进一步加强学习，组织政务公开业务人员和机关工作人员学习相关制度性文件，提升公开意识，提高公开水平；进一步优化规范公开程序和内容，提高政府信息公开的效率，为办事群众提供更优质的服务；继续完善政府信息发布机制，畅通信息发布渠道，对应公开的政府信息做到及时准确发布；积极利用媒体、简报、网络等形式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加强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政府信息公开的宣传。</w:t>
      </w:r>
    </w:p>
    <w:p w14:paraId="03AF058A">
      <w:pPr>
        <w:keepNext w:val="0"/>
        <w:keepLines w:val="0"/>
        <w:pageBreakBefore w:val="0"/>
        <w:wordWrap/>
        <w:overflowPunct/>
        <w:topLinePunct w:val="0"/>
        <w:bidi w:val="0"/>
        <w:spacing w:line="600" w:lineRule="exact"/>
        <w:ind w:firstLine="698" w:firstLineChars="200"/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_GB2312" w:hAnsi="仿宋" w:eastAsia="仿宋_GB2312" w:cs="仿宋"/>
          <w:spacing w:val="13"/>
          <w:w w:val="101"/>
          <w:sz w:val="32"/>
          <w:szCs w:val="32"/>
        </w:rPr>
        <w:t xml:space="preserve">   </w:t>
      </w:r>
      <w:r>
        <w:rPr>
          <w:rFonts w:hint="eastAsia" w:ascii="仿宋" w:hAnsi="仿宋" w:eastAsia="仿宋" w:cs="仿宋"/>
          <w:kern w:val="0"/>
          <w:sz w:val="32"/>
          <w:szCs w:val="32"/>
        </w:rPr>
        <w:t xml:space="preserve"> </w:t>
      </w:r>
    </w:p>
    <w:p w14:paraId="36B59F47">
      <w:pPr>
        <w:keepNext w:val="0"/>
        <w:keepLines w:val="0"/>
        <w:pageBreakBefore w:val="0"/>
        <w:wordWrap w:val="0"/>
        <w:overflowPunct/>
        <w:topLinePunct w:val="0"/>
        <w:bidi w:val="0"/>
        <w:spacing w:line="600" w:lineRule="exact"/>
        <w:ind w:firstLine="640" w:firstLineChars="200"/>
        <w:jc w:val="right"/>
        <w:rPr>
          <w:rFonts w:hint="eastAsia" w:ascii="仿宋" w:hAnsi="仿宋" w:eastAsia="仿宋" w:cs="仿宋"/>
          <w:kern w:val="0"/>
          <w:sz w:val="32"/>
          <w:szCs w:val="32"/>
          <w:lang w:eastAsia="zh-CN"/>
        </w:rPr>
      </w:pPr>
    </w:p>
    <w:p w14:paraId="5B54DA2A">
      <w:pPr>
        <w:keepNext w:val="0"/>
        <w:keepLines w:val="0"/>
        <w:pageBreakBefore w:val="0"/>
        <w:wordWrap w:val="0"/>
        <w:overflowPunct/>
        <w:topLinePunct w:val="0"/>
        <w:bidi w:val="0"/>
        <w:spacing w:line="600" w:lineRule="exact"/>
        <w:ind w:firstLine="640" w:firstLineChars="200"/>
        <w:jc w:val="right"/>
        <w:rPr>
          <w:rFonts w:hint="default" w:ascii="仿宋" w:hAnsi="仿宋" w:eastAsia="仿宋" w:cs="仿宋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隰县发展和改革局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 xml:space="preserve">  </w:t>
      </w:r>
    </w:p>
    <w:p w14:paraId="53A0F7D2">
      <w:pPr>
        <w:keepNext w:val="0"/>
        <w:keepLines w:val="0"/>
        <w:pageBreakBefore w:val="0"/>
        <w:wordWrap w:val="0"/>
        <w:overflowPunct/>
        <w:topLinePunct w:val="0"/>
        <w:bidi w:val="0"/>
        <w:spacing w:line="600" w:lineRule="exact"/>
        <w:ind w:firstLine="640" w:firstLineChars="200"/>
        <w:jc w:val="right"/>
        <w:rPr>
          <w:rFonts w:hint="default" w:ascii="仿宋" w:hAnsi="仿宋" w:eastAsia="仿宋" w:cs="仿宋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202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仿宋"/>
          <w:kern w:val="0"/>
          <w:sz w:val="32"/>
          <w:szCs w:val="32"/>
        </w:rPr>
        <w:t>年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 w:cs="仿宋"/>
          <w:kern w:val="0"/>
          <w:sz w:val="32"/>
          <w:szCs w:val="32"/>
        </w:rPr>
        <w:t>月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kern w:val="0"/>
          <w:sz w:val="32"/>
          <w:szCs w:val="32"/>
        </w:rPr>
        <w:t>日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 xml:space="preserve">      </w:t>
      </w:r>
    </w:p>
    <w:sectPr>
      <w:headerReference r:id="rId3" w:type="default"/>
      <w:footerReference r:id="rId4" w:type="default"/>
      <w:pgSz w:w="11700" w:h="16680"/>
      <w:pgMar w:top="1701" w:right="1701" w:bottom="1701" w:left="1701" w:header="0" w:footer="1038" w:gutter="0"/>
      <w:pgNumType w:fmt="decimal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01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大标宋简体">
    <w:altName w:val="方正书宋_GBK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">
    <w:altName w:val="方正楷体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幼圆">
    <w:altName w:val="华文仿宋"/>
    <w:panose1 w:val="02010509060101010101"/>
    <w:charset w:val="86"/>
    <w:family w:val="modern"/>
    <w:pitch w:val="default"/>
    <w:sig w:usb0="00000000" w:usb1="0000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E8DD99">
    <w:pPr>
      <w:spacing w:line="136" w:lineRule="exact"/>
      <w:ind w:firstLine="4880"/>
      <w:rPr>
        <w:rFonts w:ascii="幼圆" w:hAnsi="幼圆" w:eastAsia="幼圆" w:cs="幼圆"/>
        <w:sz w:val="20"/>
        <w:szCs w:val="20"/>
      </w:rPr>
    </w:pPr>
    <w:r>
      <w:rPr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D1AF970"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D1AF970"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2A9B05">
    <w:pPr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BjODEzODUwZWU4NzM1MWE1NzBjNTcxMjllODI1YjIifQ=="/>
  </w:docVars>
  <w:rsids>
    <w:rsidRoot w:val="5CE92545"/>
    <w:rsid w:val="001D76D3"/>
    <w:rsid w:val="003F1BD7"/>
    <w:rsid w:val="003F5DF5"/>
    <w:rsid w:val="00872F73"/>
    <w:rsid w:val="00B41972"/>
    <w:rsid w:val="00BE52FA"/>
    <w:rsid w:val="00C16614"/>
    <w:rsid w:val="00CE2EF2"/>
    <w:rsid w:val="00DD18D0"/>
    <w:rsid w:val="014940A9"/>
    <w:rsid w:val="0742121E"/>
    <w:rsid w:val="14DE6CA3"/>
    <w:rsid w:val="17EE42D3"/>
    <w:rsid w:val="20F536AE"/>
    <w:rsid w:val="21A460DD"/>
    <w:rsid w:val="26C568DA"/>
    <w:rsid w:val="272B4F83"/>
    <w:rsid w:val="27462C2A"/>
    <w:rsid w:val="2A8319E2"/>
    <w:rsid w:val="30C10091"/>
    <w:rsid w:val="335049F8"/>
    <w:rsid w:val="34A004E3"/>
    <w:rsid w:val="398B6A85"/>
    <w:rsid w:val="3DD7639D"/>
    <w:rsid w:val="3F5F3B75"/>
    <w:rsid w:val="4045631A"/>
    <w:rsid w:val="42777BEA"/>
    <w:rsid w:val="470434FA"/>
    <w:rsid w:val="49FC2992"/>
    <w:rsid w:val="52624BDF"/>
    <w:rsid w:val="57604332"/>
    <w:rsid w:val="5CE92545"/>
    <w:rsid w:val="5DC60D53"/>
    <w:rsid w:val="5DFDE71C"/>
    <w:rsid w:val="65EA7CFF"/>
    <w:rsid w:val="672A38A2"/>
    <w:rsid w:val="72165710"/>
    <w:rsid w:val="72883B4F"/>
    <w:rsid w:val="73EB2AF2"/>
    <w:rsid w:val="780D455C"/>
    <w:rsid w:val="7D7F9E4D"/>
    <w:rsid w:val="B3F2861A"/>
    <w:rsid w:val="FEFE707A"/>
    <w:rsid w:val="FFB39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No Spacing_ad81b47b-6779-4c76-b471-79375858c8cb"/>
    <w:basedOn w:val="1"/>
    <w:qFormat/>
    <w:uiPriority w:val="0"/>
    <w:pPr>
      <w:ind w:firstLine="200" w:firstLineChars="200"/>
    </w:pPr>
    <w:rPr>
      <w:rFonts w:ascii="Times New Roman" w:hAnsi="Times New Roman" w:cs="Times New Roman"/>
    </w:rPr>
  </w:style>
  <w:style w:type="paragraph" w:styleId="4">
    <w:name w:val="Body Text"/>
    <w:basedOn w:val="1"/>
    <w:qFormat/>
    <w:uiPriority w:val="0"/>
    <w:rPr>
      <w:rFonts w:ascii="Calibri" w:hAnsi="Calibri" w:eastAsia="宋体" w:cs="Times New Roman"/>
    </w:rPr>
  </w:style>
  <w:style w:type="paragraph" w:styleId="5">
    <w:name w:val="footer"/>
    <w:basedOn w:val="1"/>
    <w:link w:val="32"/>
    <w:qFormat/>
    <w:uiPriority w:val="0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6">
    <w:name w:val="header"/>
    <w:basedOn w:val="1"/>
    <w:link w:val="3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0"/>
    <w:pPr>
      <w:spacing w:beforeAutospacing="1" w:afterAutospacing="1"/>
    </w:pPr>
    <w:rPr>
      <w:rFonts w:cs="Times New Roman"/>
      <w:sz w:val="24"/>
    </w:rPr>
  </w:style>
  <w:style w:type="paragraph" w:styleId="8">
    <w:name w:val="Title"/>
    <w:basedOn w:val="1"/>
    <w:next w:val="1"/>
    <w:qFormat/>
    <w:uiPriority w:val="10"/>
    <w:pPr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  <w:style w:type="character" w:styleId="11">
    <w:name w:val="Strong"/>
    <w:basedOn w:val="10"/>
    <w:qFormat/>
    <w:uiPriority w:val="0"/>
    <w:rPr>
      <w:b/>
    </w:rPr>
  </w:style>
  <w:style w:type="character" w:styleId="12">
    <w:name w:val="FollowedHyperlink"/>
    <w:basedOn w:val="10"/>
    <w:qFormat/>
    <w:uiPriority w:val="0"/>
    <w:rPr>
      <w:color w:val="555555"/>
      <w:u w:val="none"/>
    </w:rPr>
  </w:style>
  <w:style w:type="character" w:styleId="13">
    <w:name w:val="Hyperlink"/>
    <w:basedOn w:val="10"/>
    <w:qFormat/>
    <w:uiPriority w:val="0"/>
    <w:rPr>
      <w:color w:val="555555"/>
      <w:u w:val="none"/>
    </w:rPr>
  </w:style>
  <w:style w:type="table" w:customStyle="1" w:styleId="1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5">
    <w:name w:val="icon6"/>
    <w:basedOn w:val="10"/>
    <w:qFormat/>
    <w:uiPriority w:val="0"/>
  </w:style>
  <w:style w:type="character" w:customStyle="1" w:styleId="16">
    <w:name w:val="icon5"/>
    <w:basedOn w:val="10"/>
    <w:qFormat/>
    <w:uiPriority w:val="0"/>
  </w:style>
  <w:style w:type="character" w:customStyle="1" w:styleId="17">
    <w:name w:val="icon4"/>
    <w:basedOn w:val="10"/>
    <w:qFormat/>
    <w:uiPriority w:val="0"/>
  </w:style>
  <w:style w:type="character" w:customStyle="1" w:styleId="18">
    <w:name w:val="icon1"/>
    <w:basedOn w:val="10"/>
    <w:qFormat/>
    <w:uiPriority w:val="0"/>
  </w:style>
  <w:style w:type="character" w:customStyle="1" w:styleId="19">
    <w:name w:val="icon3"/>
    <w:basedOn w:val="10"/>
    <w:qFormat/>
    <w:uiPriority w:val="0"/>
  </w:style>
  <w:style w:type="character" w:customStyle="1" w:styleId="20">
    <w:name w:val="icon2"/>
    <w:basedOn w:val="10"/>
    <w:qFormat/>
    <w:uiPriority w:val="0"/>
  </w:style>
  <w:style w:type="character" w:customStyle="1" w:styleId="21">
    <w:name w:val="icon7"/>
    <w:basedOn w:val="10"/>
    <w:qFormat/>
    <w:uiPriority w:val="0"/>
  </w:style>
  <w:style w:type="character" w:customStyle="1" w:styleId="22">
    <w:name w:val="icon8"/>
    <w:basedOn w:val="10"/>
    <w:qFormat/>
    <w:uiPriority w:val="0"/>
  </w:style>
  <w:style w:type="character" w:customStyle="1" w:styleId="23">
    <w:name w:val="hover9"/>
    <w:basedOn w:val="10"/>
    <w:qFormat/>
    <w:uiPriority w:val="0"/>
    <w:rPr>
      <w:color w:val="076FF4"/>
      <w:bdr w:val="single" w:color="076FF4" w:sz="6" w:space="0"/>
    </w:rPr>
  </w:style>
  <w:style w:type="character" w:customStyle="1" w:styleId="24">
    <w:name w:val="on2"/>
    <w:basedOn w:val="10"/>
    <w:qFormat/>
    <w:uiPriority w:val="0"/>
    <w:rPr>
      <w:color w:val="076FF4"/>
      <w:bdr w:val="single" w:color="076FF4" w:sz="6" w:space="0"/>
    </w:rPr>
  </w:style>
  <w:style w:type="character" w:customStyle="1" w:styleId="25">
    <w:name w:val="prevstop1"/>
    <w:basedOn w:val="10"/>
    <w:qFormat/>
    <w:uiPriority w:val="0"/>
    <w:rPr>
      <w:color w:val="ACACAC"/>
      <w:shd w:val="clear" w:color="auto" w:fill="F2F2F2"/>
    </w:rPr>
  </w:style>
  <w:style w:type="character" w:customStyle="1" w:styleId="26">
    <w:name w:val="nextstop1"/>
    <w:basedOn w:val="10"/>
    <w:qFormat/>
    <w:uiPriority w:val="0"/>
    <w:rPr>
      <w:color w:val="ACACAC"/>
      <w:shd w:val="clear" w:color="auto" w:fill="F2F2F2"/>
    </w:rPr>
  </w:style>
  <w:style w:type="character" w:customStyle="1" w:styleId="27">
    <w:name w:val="share"/>
    <w:basedOn w:val="10"/>
    <w:qFormat/>
    <w:uiPriority w:val="0"/>
  </w:style>
  <w:style w:type="character" w:customStyle="1" w:styleId="28">
    <w:name w:val="prevstop"/>
    <w:basedOn w:val="10"/>
    <w:qFormat/>
    <w:uiPriority w:val="0"/>
    <w:rPr>
      <w:color w:val="ACACAC"/>
      <w:shd w:val="clear" w:color="auto" w:fill="F2F2F2"/>
    </w:rPr>
  </w:style>
  <w:style w:type="character" w:customStyle="1" w:styleId="29">
    <w:name w:val="hover"/>
    <w:basedOn w:val="10"/>
    <w:qFormat/>
    <w:uiPriority w:val="0"/>
    <w:rPr>
      <w:color w:val="076FF4"/>
      <w:bdr w:val="single" w:color="076FF4" w:sz="6" w:space="0"/>
    </w:rPr>
  </w:style>
  <w:style w:type="character" w:customStyle="1" w:styleId="30">
    <w:name w:val="on1"/>
    <w:basedOn w:val="10"/>
    <w:qFormat/>
    <w:uiPriority w:val="0"/>
    <w:rPr>
      <w:color w:val="076FF4"/>
      <w:bdr w:val="single" w:color="076FF4" w:sz="6" w:space="0"/>
    </w:rPr>
  </w:style>
  <w:style w:type="character" w:customStyle="1" w:styleId="31">
    <w:name w:val="页眉 Char"/>
    <w:basedOn w:val="10"/>
    <w:link w:val="6"/>
    <w:qFormat/>
    <w:uiPriority w:val="0"/>
    <w:rPr>
      <w:rFonts w:ascii="Arial" w:hAnsi="Arial" w:eastAsia="Arial" w:cs="Arial"/>
      <w:snapToGrid w:val="0"/>
      <w:color w:val="000000"/>
      <w:sz w:val="18"/>
      <w:szCs w:val="18"/>
    </w:rPr>
  </w:style>
  <w:style w:type="character" w:customStyle="1" w:styleId="32">
    <w:name w:val="页脚 Char"/>
    <w:basedOn w:val="10"/>
    <w:link w:val="5"/>
    <w:qFormat/>
    <w:uiPriority w:val="0"/>
    <w:rPr>
      <w:rFonts w:ascii="Arial" w:hAnsi="Arial" w:eastAsia="Arial" w:cs="Arial"/>
      <w:snapToGrid w:val="0"/>
      <w:color w:val="00000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4</Pages>
  <Words>414</Words>
  <Characters>434</Characters>
  <Lines>17</Lines>
  <Paragraphs>4</Paragraphs>
  <TotalTime>55</TotalTime>
  <ScaleCrop>false</ScaleCrop>
  <LinksUpToDate>false</LinksUpToDate>
  <CharactersWithSpaces>434</CharactersWithSpaces>
  <Application>WPS Office_12.8.2.21176_F1E327BC-269C-435d-A152-05C5408002CA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2022-01-26T08:17:00Z</dcterms:created>
  <dc:creator>小鹏友</dc:creator>
  <cp:lastModifiedBy>kylin</cp:lastModifiedBy>
  <cp:lastPrinted>2026-02-04T01:44:00Z</cp:lastPrinted>
  <dcterms:modified xsi:type="dcterms:W3CDTF">2026-02-19T12:20:41Z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2052-12.8.2.21176</vt:lpwstr>
  </property>
  <property fmtid="{D5CDD505-2E9C-101B-9397-08002B2CF9AE}" pid="3" name="ICV">
    <vt:lpwstr>997D547FF8D81C5C8FA98169722AFA78_43</vt:lpwstr>
  </property>
  <property fmtid="{D5CDD505-2E9C-101B-9397-08002B2CF9AE}" pid="4" name="KSOTemplateDocerSaveRecord">
    <vt:lpwstr>eyJoZGlkIjoiNTI3YmViNDk2Njk1NzQyOGQ1ODllY2U4ZjA2NmY2ZGIiLCJ1c2VySWQiOiIzNjU1NTg5ODgifQ==</vt:lpwstr>
  </property>
</Properties>
</file>