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25D22E"/>
    <w:p w14:paraId="0734E6FB">
      <w:pPr>
        <w:keepNext w:val="0"/>
        <w:keepLines w:val="0"/>
        <w:pageBreakBefore w:val="0"/>
        <w:widowControl w:val="0"/>
        <w:kinsoku/>
        <w:wordWrap/>
        <w:overflowPunct/>
        <w:topLinePunct w:val="0"/>
        <w:autoSpaceDE/>
        <w:autoSpaceDN/>
        <w:bidi w:val="0"/>
        <w:spacing w:line="640" w:lineRule="exact"/>
        <w:jc w:val="center"/>
        <w:rPr>
          <w:rFonts w:hint="eastAsia" w:ascii="方正小标宋简体" w:eastAsia="方正小标宋简体" w:hAnsiTheme="majorEastAsia" w:cstheme="majorEastAsia"/>
          <w:bCs/>
          <w:sz w:val="44"/>
          <w:szCs w:val="44"/>
          <w:lang w:val="en-US" w:eastAsia="zh-CN"/>
        </w:rPr>
      </w:pPr>
      <w:r>
        <w:rPr>
          <w:rFonts w:hint="eastAsia" w:ascii="方正小标宋简体" w:eastAsia="方正小标宋简体" w:hAnsiTheme="majorEastAsia" w:cstheme="majorEastAsia"/>
          <w:bCs/>
          <w:sz w:val="44"/>
          <w:szCs w:val="44"/>
          <w:lang w:val="en-US" w:eastAsia="zh-CN"/>
        </w:rPr>
        <w:t>隰县市场监督管理局</w:t>
      </w:r>
    </w:p>
    <w:p w14:paraId="6BCA7CE1">
      <w:pPr>
        <w:keepNext w:val="0"/>
        <w:keepLines w:val="0"/>
        <w:pageBreakBefore w:val="0"/>
        <w:widowControl w:val="0"/>
        <w:kinsoku/>
        <w:wordWrap/>
        <w:overflowPunct/>
        <w:topLinePunct w:val="0"/>
        <w:autoSpaceDE/>
        <w:autoSpaceDN/>
        <w:bidi w:val="0"/>
        <w:spacing w:line="640" w:lineRule="exact"/>
        <w:jc w:val="center"/>
        <w:rPr>
          <w:rFonts w:ascii="方正小标宋简体" w:eastAsia="方正小标宋简体" w:hAnsiTheme="majorEastAsia" w:cstheme="majorEastAsia"/>
          <w:bCs/>
          <w:sz w:val="44"/>
          <w:szCs w:val="44"/>
        </w:rPr>
      </w:pPr>
      <w:r>
        <w:rPr>
          <w:rFonts w:hint="eastAsia" w:ascii="方正小标宋简体" w:eastAsia="方正小标宋简体" w:hAnsiTheme="majorEastAsia" w:cstheme="majorEastAsia"/>
          <w:bCs/>
          <w:snapToGrid/>
          <w:kern w:val="2"/>
          <w:sz w:val="44"/>
          <w:szCs w:val="44"/>
        </w:rPr>
        <w:t>202</w:t>
      </w:r>
      <w:r>
        <w:rPr>
          <w:rFonts w:hint="eastAsia" w:ascii="方正小标宋简体" w:eastAsia="方正小标宋简体" w:hAnsiTheme="majorEastAsia" w:cstheme="majorEastAsia"/>
          <w:bCs/>
          <w:snapToGrid/>
          <w:kern w:val="2"/>
          <w:sz w:val="44"/>
          <w:szCs w:val="44"/>
          <w:lang w:val="en-US" w:eastAsia="zh-CN"/>
        </w:rPr>
        <w:t>5</w:t>
      </w:r>
      <w:r>
        <w:rPr>
          <w:rFonts w:hint="eastAsia" w:ascii="方正小标宋简体" w:eastAsia="方正小标宋简体" w:hAnsiTheme="majorEastAsia" w:cstheme="majorEastAsia"/>
          <w:bCs/>
          <w:snapToGrid/>
          <w:kern w:val="2"/>
          <w:sz w:val="44"/>
          <w:szCs w:val="44"/>
        </w:rPr>
        <w:t>年政府信息公开工作年报</w:t>
      </w:r>
    </w:p>
    <w:p w14:paraId="6A8340C3">
      <w:pPr>
        <w:keepNext w:val="0"/>
        <w:keepLines w:val="0"/>
        <w:pageBreakBefore w:val="0"/>
        <w:widowControl w:val="0"/>
        <w:kinsoku/>
        <w:wordWrap/>
        <w:overflowPunct/>
        <w:topLinePunct w:val="0"/>
        <w:autoSpaceDE/>
        <w:autoSpaceDN/>
        <w:bidi w:val="0"/>
        <w:spacing w:line="640" w:lineRule="exact"/>
        <w:ind w:firstLine="632" w:firstLineChars="200"/>
        <w:jc w:val="both"/>
        <w:outlineLvl w:val="1"/>
        <w:rPr>
          <w:rFonts w:ascii="黑体" w:hAnsi="黑体" w:eastAsia="黑体" w:cs="黑体"/>
          <w:spacing w:val="-2"/>
          <w:sz w:val="32"/>
          <w:szCs w:val="32"/>
          <w14:textOutline w14:w="4356" w14:cap="flat" w14:cmpd="sng" w14:algn="ctr">
            <w14:solidFill>
              <w14:srgbClr w14:val="000000"/>
            </w14:solidFill>
            <w14:prstDash w14:val="solid"/>
            <w14:miter w14:val="0"/>
          </w14:textOutline>
        </w:rPr>
      </w:pPr>
    </w:p>
    <w:p w14:paraId="00632919">
      <w:pPr>
        <w:spacing w:line="62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根据《中华人民共和国政府信息公开条例》（国务院令711号）（以下简称条例）规定和《中华人民共和国政府信息公开工作年度报告格式》（国办公开办函〔2021〕30号）要求，现将</w:t>
      </w:r>
      <w:r>
        <w:rPr>
          <w:rFonts w:hint="eastAsia" w:ascii="仿宋" w:hAnsi="仿宋" w:eastAsia="仿宋" w:cs="仿宋"/>
          <w:kern w:val="0"/>
          <w:sz w:val="32"/>
          <w:szCs w:val="32"/>
          <w:lang w:val="en-US" w:eastAsia="zh-CN"/>
        </w:rPr>
        <w:t>隰县市场监督管理局</w:t>
      </w:r>
      <w:bookmarkStart w:id="0" w:name="_GoBack"/>
      <w:bookmarkEnd w:id="0"/>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年政府信息公开年度报告向社会公布。本报告由总体情况、主动公开政府信息情况、收到和处理政府信息公开申请情况等六个部分组成。本报告中所列数据的统计期限自202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年1月1日至202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年12月31日止。</w:t>
      </w:r>
    </w:p>
    <w:p w14:paraId="0F870D0A">
      <w:pPr>
        <w:spacing w:line="620" w:lineRule="exact"/>
        <w:ind w:firstLine="643" w:firstLineChars="200"/>
        <w:rPr>
          <w:rFonts w:hint="eastAsia" w:ascii="黑体" w:hAnsi="黑体" w:eastAsia="黑体" w:cs="黑体"/>
          <w:b/>
          <w:sz w:val="32"/>
          <w:szCs w:val="32"/>
          <w:lang w:eastAsia="zh-CN"/>
        </w:rPr>
      </w:pPr>
      <w:r>
        <w:rPr>
          <w:rFonts w:hint="eastAsia" w:ascii="黑体" w:hAnsi="黑体" w:eastAsia="黑体" w:cs="黑体"/>
          <w:b/>
          <w:sz w:val="32"/>
          <w:szCs w:val="32"/>
          <w:lang w:eastAsia="zh-CN"/>
        </w:rPr>
        <w:t>一、总体情况</w:t>
      </w:r>
    </w:p>
    <w:p w14:paraId="22CA8C27">
      <w:pPr>
        <w:pStyle w:val="6"/>
        <w:rPr>
          <w:rFonts w:hint="eastAsia" w:eastAsia="宋体"/>
          <w:lang w:val="en-US" w:eastAsia="zh-CN"/>
        </w:rPr>
      </w:pPr>
    </w:p>
    <w:p w14:paraId="332A241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24"/>
          <w:szCs w:val="24"/>
          <w:shd w:val="clear" w:color="auto" w:fill="FFFFFF"/>
        </w:rPr>
      </w:pPr>
      <w:r>
        <w:rPr>
          <w:rFonts w:hint="eastAsia" w:ascii="黑体" w:hAnsi="黑体" w:eastAsia="黑体" w:cs="黑体"/>
          <w:b w:val="0"/>
          <w:bCs/>
          <w:i w:val="0"/>
          <w:caps w:val="0"/>
          <w:color w:val="000000"/>
          <w:spacing w:val="0"/>
          <w:sz w:val="32"/>
          <w:szCs w:val="32"/>
          <w:shd w:val="clear" w:color="auto" w:fill="FFFFFF"/>
        </w:rPr>
        <w:t>二、主动公开政府信息情况</w:t>
      </w:r>
    </w:p>
    <w:tbl>
      <w:tblPr>
        <w:tblStyle w:val="7"/>
        <w:tblW w:w="93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335"/>
        <w:gridCol w:w="2335"/>
        <w:gridCol w:w="2335"/>
        <w:gridCol w:w="2335"/>
      </w:tblGrid>
      <w:tr w14:paraId="17136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9340" w:type="dxa"/>
            <w:gridSpan w:val="4"/>
            <w:tcBorders>
              <w:top w:val="single" w:color="auto" w:sz="8" w:space="0"/>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56EED6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第二十条第（一）项</w:t>
            </w:r>
          </w:p>
        </w:tc>
      </w:tr>
      <w:tr w14:paraId="2B607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40D90BE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信息内容</w:t>
            </w:r>
          </w:p>
        </w:tc>
        <w:tc>
          <w:tcPr>
            <w:tcW w:w="2335" w:type="dxa"/>
            <w:tcBorders>
              <w:top w:val="single" w:color="auto" w:sz="8" w:space="0"/>
              <w:left w:val="nil"/>
              <w:bottom w:val="single" w:color="auto" w:sz="8" w:space="0"/>
              <w:right w:val="single" w:color="auto" w:sz="8" w:space="0"/>
            </w:tcBorders>
            <w:noWrap w:val="0"/>
            <w:tcMar>
              <w:left w:w="57" w:type="dxa"/>
              <w:right w:w="57" w:type="dxa"/>
            </w:tcMar>
            <w:vAlign w:val="center"/>
          </w:tcPr>
          <w:p w14:paraId="74DFF3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本年制发件数</w:t>
            </w:r>
          </w:p>
        </w:tc>
        <w:tc>
          <w:tcPr>
            <w:tcW w:w="2335" w:type="dxa"/>
            <w:tcBorders>
              <w:top w:val="single" w:color="auto" w:sz="8" w:space="0"/>
              <w:left w:val="nil"/>
              <w:bottom w:val="single" w:color="auto" w:sz="8" w:space="0"/>
              <w:right w:val="single" w:color="auto" w:sz="8" w:space="0"/>
            </w:tcBorders>
            <w:noWrap w:val="0"/>
            <w:tcMar>
              <w:left w:w="57" w:type="dxa"/>
              <w:right w:w="57" w:type="dxa"/>
            </w:tcMar>
            <w:vAlign w:val="center"/>
          </w:tcPr>
          <w:p w14:paraId="278D86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本年废止件数</w:t>
            </w:r>
          </w:p>
        </w:tc>
        <w:tc>
          <w:tcPr>
            <w:tcW w:w="2335" w:type="dxa"/>
            <w:tcBorders>
              <w:top w:val="single" w:color="auto" w:sz="8" w:space="0"/>
              <w:left w:val="nil"/>
              <w:bottom w:val="single" w:color="auto" w:sz="8" w:space="0"/>
              <w:right w:val="single" w:color="auto" w:sz="8" w:space="0"/>
            </w:tcBorders>
            <w:noWrap w:val="0"/>
            <w:tcMar>
              <w:left w:w="57" w:type="dxa"/>
              <w:right w:w="57" w:type="dxa"/>
            </w:tcMar>
            <w:vAlign w:val="center"/>
          </w:tcPr>
          <w:p w14:paraId="052E79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现行有效件数</w:t>
            </w:r>
          </w:p>
        </w:tc>
      </w:tr>
      <w:tr w14:paraId="293DC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24B575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规章</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5B58A0C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145E599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46600CB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1"/>
                <w:szCs w:val="21"/>
                <w:lang w:val="en-US" w:eastAsia="zh-CN" w:bidi="ar"/>
              </w:rPr>
              <w:t>0</w:t>
            </w:r>
          </w:p>
        </w:tc>
      </w:tr>
      <w:tr w14:paraId="6F91B4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7122AD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行政规范性文件</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04392A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420DCF1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c>
          <w:tcPr>
            <w:tcW w:w="2335" w:type="dxa"/>
            <w:tcBorders>
              <w:top w:val="nil"/>
              <w:left w:val="nil"/>
              <w:bottom w:val="single" w:color="auto" w:sz="8" w:space="0"/>
              <w:right w:val="single" w:color="auto" w:sz="8" w:space="0"/>
            </w:tcBorders>
            <w:noWrap w:val="0"/>
            <w:tcMar>
              <w:left w:w="57" w:type="dxa"/>
              <w:right w:w="57" w:type="dxa"/>
            </w:tcMar>
            <w:vAlign w:val="center"/>
          </w:tcPr>
          <w:p w14:paraId="5B24877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1"/>
                <w:szCs w:val="21"/>
                <w:lang w:val="en-US" w:eastAsia="zh-CN" w:bidi="ar"/>
              </w:rPr>
              <w:t>0</w:t>
            </w:r>
          </w:p>
        </w:tc>
      </w:tr>
      <w:tr w14:paraId="089EC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93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205FFA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第二十条第（五）项</w:t>
            </w:r>
          </w:p>
        </w:tc>
      </w:tr>
      <w:tr w14:paraId="217AA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7C5A52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信息内容</w:t>
            </w:r>
          </w:p>
        </w:tc>
        <w:tc>
          <w:tcPr>
            <w:tcW w:w="7005" w:type="dxa"/>
            <w:gridSpan w:val="3"/>
            <w:tcBorders>
              <w:top w:val="nil"/>
              <w:left w:val="nil"/>
              <w:bottom w:val="single" w:color="auto" w:sz="8" w:space="0"/>
              <w:right w:val="single" w:color="auto" w:sz="8" w:space="0"/>
            </w:tcBorders>
            <w:noWrap w:val="0"/>
            <w:tcMar>
              <w:left w:w="57" w:type="dxa"/>
              <w:right w:w="57" w:type="dxa"/>
            </w:tcMar>
            <w:vAlign w:val="center"/>
          </w:tcPr>
          <w:p w14:paraId="7B28AE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本年处理决定数量</w:t>
            </w:r>
          </w:p>
        </w:tc>
      </w:tr>
      <w:tr w14:paraId="3C012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235923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行政许可</w:t>
            </w:r>
          </w:p>
        </w:tc>
        <w:tc>
          <w:tcPr>
            <w:tcW w:w="7005" w:type="dxa"/>
            <w:gridSpan w:val="3"/>
            <w:tcBorders>
              <w:top w:val="nil"/>
              <w:left w:val="nil"/>
              <w:bottom w:val="single" w:color="auto" w:sz="8" w:space="0"/>
              <w:right w:val="single" w:color="auto" w:sz="8" w:space="0"/>
            </w:tcBorders>
            <w:noWrap w:val="0"/>
            <w:tcMar>
              <w:left w:w="57" w:type="dxa"/>
              <w:right w:w="57" w:type="dxa"/>
            </w:tcMar>
            <w:vAlign w:val="center"/>
          </w:tcPr>
          <w:p w14:paraId="6FE531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1"/>
                <w:szCs w:val="21"/>
                <w:lang w:val="en-US" w:eastAsia="zh-CN" w:bidi="ar"/>
              </w:rPr>
              <w:t>0</w:t>
            </w:r>
          </w:p>
        </w:tc>
      </w:tr>
      <w:tr w14:paraId="46919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93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7F2771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第二十条第（六）项</w:t>
            </w:r>
          </w:p>
        </w:tc>
      </w:tr>
      <w:tr w14:paraId="7594B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68D6BF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信息内容</w:t>
            </w:r>
          </w:p>
        </w:tc>
        <w:tc>
          <w:tcPr>
            <w:tcW w:w="7005" w:type="dxa"/>
            <w:gridSpan w:val="3"/>
            <w:tcBorders>
              <w:top w:val="single" w:color="auto" w:sz="8" w:space="0"/>
              <w:left w:val="nil"/>
              <w:bottom w:val="single" w:color="auto" w:sz="8" w:space="0"/>
              <w:right w:val="single" w:color="auto" w:sz="8" w:space="0"/>
            </w:tcBorders>
            <w:noWrap w:val="0"/>
            <w:tcMar>
              <w:left w:w="57" w:type="dxa"/>
              <w:right w:w="57" w:type="dxa"/>
            </w:tcMar>
            <w:vAlign w:val="center"/>
          </w:tcPr>
          <w:p w14:paraId="2965EE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本年处理决定数量</w:t>
            </w:r>
          </w:p>
        </w:tc>
      </w:tr>
      <w:tr w14:paraId="6D33B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678B1C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行政处罚</w:t>
            </w:r>
          </w:p>
        </w:tc>
        <w:tc>
          <w:tcPr>
            <w:tcW w:w="7005" w:type="dxa"/>
            <w:gridSpan w:val="3"/>
            <w:tcBorders>
              <w:top w:val="nil"/>
              <w:left w:val="nil"/>
              <w:bottom w:val="single" w:color="auto" w:sz="8" w:space="0"/>
              <w:right w:val="single" w:color="auto" w:sz="8" w:space="0"/>
            </w:tcBorders>
            <w:noWrap w:val="0"/>
            <w:tcMar>
              <w:left w:w="57" w:type="dxa"/>
              <w:right w:w="57" w:type="dxa"/>
            </w:tcMar>
            <w:vAlign w:val="center"/>
          </w:tcPr>
          <w:p w14:paraId="72A08F2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r>
      <w:tr w14:paraId="35E83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0936A61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行政强制</w:t>
            </w:r>
          </w:p>
        </w:tc>
        <w:tc>
          <w:tcPr>
            <w:tcW w:w="7005" w:type="dxa"/>
            <w:gridSpan w:val="3"/>
            <w:tcBorders>
              <w:top w:val="nil"/>
              <w:left w:val="nil"/>
              <w:bottom w:val="single" w:color="auto" w:sz="8" w:space="0"/>
              <w:right w:val="single" w:color="auto" w:sz="8" w:space="0"/>
            </w:tcBorders>
            <w:noWrap w:val="0"/>
            <w:tcMar>
              <w:left w:w="57" w:type="dxa"/>
              <w:right w:w="57" w:type="dxa"/>
            </w:tcMar>
            <w:vAlign w:val="center"/>
          </w:tcPr>
          <w:p w14:paraId="65C888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宋体" w:hAnsi="宋体" w:eastAsia="宋体" w:cs="宋体"/>
                <w:color w:val="000000"/>
                <w:kern w:val="0"/>
                <w:sz w:val="20"/>
                <w:szCs w:val="20"/>
                <w:lang w:val="en-US" w:eastAsia="zh-CN" w:bidi="ar"/>
              </w:rPr>
              <w:t>0</w:t>
            </w:r>
          </w:p>
        </w:tc>
      </w:tr>
      <w:tr w14:paraId="3E3CC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9340" w:type="dxa"/>
            <w:gridSpan w:val="4"/>
            <w:tcBorders>
              <w:top w:val="nil"/>
              <w:left w:val="single" w:color="auto" w:sz="8" w:space="0"/>
              <w:bottom w:val="single" w:color="auto" w:sz="8" w:space="0"/>
              <w:right w:val="single" w:color="auto" w:sz="8" w:space="0"/>
            </w:tcBorders>
            <w:shd w:val="clear" w:color="auto" w:fill="C6D9F1"/>
            <w:noWrap w:val="0"/>
            <w:tcMar>
              <w:left w:w="57" w:type="dxa"/>
              <w:right w:w="57" w:type="dxa"/>
            </w:tcMar>
            <w:vAlign w:val="center"/>
          </w:tcPr>
          <w:p w14:paraId="73A19B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第二十条第（八）项</w:t>
            </w:r>
          </w:p>
        </w:tc>
      </w:tr>
      <w:tr w14:paraId="5605C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2AD89A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信息内容</w:t>
            </w:r>
          </w:p>
        </w:tc>
        <w:tc>
          <w:tcPr>
            <w:tcW w:w="7005" w:type="dxa"/>
            <w:gridSpan w:val="3"/>
            <w:tcBorders>
              <w:top w:val="nil"/>
              <w:left w:val="nil"/>
              <w:bottom w:val="single" w:color="auto" w:sz="8" w:space="0"/>
              <w:right w:val="single" w:color="000000" w:sz="8" w:space="0"/>
            </w:tcBorders>
            <w:noWrap w:val="0"/>
            <w:tcMar>
              <w:left w:w="57" w:type="dxa"/>
              <w:right w:w="57" w:type="dxa"/>
            </w:tcMar>
            <w:vAlign w:val="center"/>
          </w:tcPr>
          <w:p w14:paraId="7F566A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本年收费金额（单位：万元）</w:t>
            </w:r>
          </w:p>
        </w:tc>
      </w:tr>
      <w:tr w14:paraId="18DA0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41" w:hRule="atLeast"/>
          <w:jc w:val="center"/>
        </w:trPr>
        <w:tc>
          <w:tcPr>
            <w:tcW w:w="2335" w:type="dxa"/>
            <w:tcBorders>
              <w:top w:val="nil"/>
              <w:left w:val="single" w:color="auto" w:sz="8" w:space="0"/>
              <w:bottom w:val="single" w:color="auto" w:sz="8" w:space="0"/>
              <w:right w:val="single" w:color="auto" w:sz="8" w:space="0"/>
            </w:tcBorders>
            <w:noWrap w:val="0"/>
            <w:tcMar>
              <w:left w:w="57" w:type="dxa"/>
              <w:right w:w="57" w:type="dxa"/>
            </w:tcMar>
            <w:vAlign w:val="center"/>
          </w:tcPr>
          <w:p w14:paraId="696AFD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行政事业性收费</w:t>
            </w:r>
          </w:p>
        </w:tc>
        <w:tc>
          <w:tcPr>
            <w:tcW w:w="7005" w:type="dxa"/>
            <w:gridSpan w:val="3"/>
            <w:tcBorders>
              <w:top w:val="nil"/>
              <w:left w:val="nil"/>
              <w:bottom w:val="single" w:color="auto" w:sz="8" w:space="0"/>
              <w:right w:val="single" w:color="000000" w:sz="8" w:space="0"/>
            </w:tcBorders>
            <w:noWrap w:val="0"/>
            <w:tcMar>
              <w:left w:w="57" w:type="dxa"/>
              <w:right w:w="57" w:type="dxa"/>
            </w:tcMar>
            <w:vAlign w:val="center"/>
          </w:tcPr>
          <w:p w14:paraId="109629AA">
            <w:pPr>
              <w:jc w:val="center"/>
              <w:rPr>
                <w:rFonts w:hint="default" w:ascii="宋体" w:eastAsia="宋体"/>
                <w:color w:val="000000"/>
                <w:sz w:val="24"/>
                <w:szCs w:val="24"/>
                <w:lang w:val="en-US" w:eastAsia="zh-CN"/>
              </w:rPr>
            </w:pPr>
            <w:r>
              <w:rPr>
                <w:rFonts w:hint="eastAsia" w:ascii="宋体" w:eastAsia="宋体"/>
                <w:color w:val="000000"/>
                <w:sz w:val="24"/>
                <w:szCs w:val="24"/>
                <w:lang w:val="en-US" w:eastAsia="zh-CN"/>
              </w:rPr>
              <w:t>0</w:t>
            </w:r>
          </w:p>
        </w:tc>
      </w:tr>
    </w:tbl>
    <w:p w14:paraId="1B900076">
      <w:pPr>
        <w:keepNext w:val="0"/>
        <w:keepLines w:val="0"/>
        <w:widowControl/>
        <w:suppressLineNumbers w:val="0"/>
        <w:jc w:val="left"/>
        <w:rPr>
          <w:color w:val="000000"/>
        </w:rPr>
      </w:pPr>
    </w:p>
    <w:p w14:paraId="2BC7666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32"/>
          <w:szCs w:val="32"/>
          <w:shd w:val="clear" w:color="auto" w:fill="FFFFFF"/>
        </w:rPr>
      </w:pPr>
    </w:p>
    <w:p w14:paraId="76C612A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32"/>
          <w:szCs w:val="32"/>
          <w:shd w:val="clear" w:color="auto" w:fill="FFFFFF"/>
        </w:rPr>
      </w:pPr>
    </w:p>
    <w:p w14:paraId="0E93B2D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32"/>
          <w:szCs w:val="32"/>
          <w:shd w:val="clear" w:color="auto" w:fill="FFFFFF"/>
        </w:rPr>
      </w:pPr>
    </w:p>
    <w:p w14:paraId="293EA4C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32"/>
          <w:szCs w:val="32"/>
          <w:shd w:val="clear" w:color="auto" w:fill="FFFFFF"/>
        </w:rPr>
      </w:pPr>
      <w:r>
        <w:rPr>
          <w:rFonts w:hint="eastAsia" w:ascii="黑体" w:hAnsi="黑体" w:eastAsia="黑体" w:cs="黑体"/>
          <w:b w:val="0"/>
          <w:bCs/>
          <w:i w:val="0"/>
          <w:caps w:val="0"/>
          <w:color w:val="000000"/>
          <w:spacing w:val="0"/>
          <w:sz w:val="32"/>
          <w:szCs w:val="32"/>
          <w:shd w:val="clear" w:color="auto" w:fill="FFFFFF"/>
        </w:rPr>
        <w:t>三、收到和处理政府信息公开申请情况</w:t>
      </w:r>
    </w:p>
    <w:tbl>
      <w:tblPr>
        <w:tblStyle w:val="7"/>
        <w:tblW w:w="9546"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775"/>
        <w:gridCol w:w="953"/>
        <w:gridCol w:w="3259"/>
        <w:gridCol w:w="695"/>
        <w:gridCol w:w="695"/>
        <w:gridCol w:w="695"/>
        <w:gridCol w:w="695"/>
        <w:gridCol w:w="695"/>
        <w:gridCol w:w="584"/>
        <w:gridCol w:w="500"/>
      </w:tblGrid>
      <w:tr w14:paraId="63F0654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4987" w:type="dxa"/>
            <w:gridSpan w:val="3"/>
            <w:vMerge w:val="restart"/>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14:paraId="7EF150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ascii="楷体" w:hAnsi="楷体" w:eastAsia="楷体" w:cs="楷体"/>
                <w:color w:val="000000"/>
                <w:kern w:val="0"/>
                <w:sz w:val="20"/>
                <w:szCs w:val="20"/>
                <w:lang w:val="en-US" w:eastAsia="zh-CN" w:bidi="ar"/>
              </w:rPr>
              <w:t>（本列数据的勾稽关系为：第一项加第二项之和，等于第三项加第四项之和）</w:t>
            </w:r>
          </w:p>
        </w:tc>
        <w:tc>
          <w:tcPr>
            <w:tcW w:w="4559" w:type="dxa"/>
            <w:gridSpan w:val="7"/>
            <w:tcBorders>
              <w:top w:val="single" w:color="auto" w:sz="8" w:space="0"/>
              <w:left w:val="nil"/>
              <w:bottom w:val="single" w:color="auto" w:sz="8" w:space="0"/>
              <w:right w:val="single" w:color="auto" w:sz="8" w:space="0"/>
            </w:tcBorders>
            <w:noWrap w:val="0"/>
            <w:tcMar>
              <w:left w:w="57" w:type="dxa"/>
              <w:right w:w="57" w:type="dxa"/>
            </w:tcMar>
            <w:vAlign w:val="center"/>
          </w:tcPr>
          <w:p w14:paraId="5BC71AC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申请人情况</w:t>
            </w:r>
          </w:p>
        </w:tc>
      </w:tr>
      <w:tr w14:paraId="439A0E2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4987"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14:paraId="44025968">
            <w:pPr>
              <w:rPr>
                <w:rFonts w:hint="eastAsia" w:ascii="宋体"/>
                <w:color w:val="000000"/>
                <w:sz w:val="24"/>
                <w:szCs w:val="24"/>
              </w:rPr>
            </w:pPr>
          </w:p>
        </w:tc>
        <w:tc>
          <w:tcPr>
            <w:tcW w:w="695" w:type="dxa"/>
            <w:vMerge w:val="restart"/>
            <w:tcBorders>
              <w:top w:val="nil"/>
              <w:left w:val="nil"/>
              <w:bottom w:val="single" w:color="auto" w:sz="8" w:space="0"/>
              <w:right w:val="single" w:color="auto" w:sz="8" w:space="0"/>
            </w:tcBorders>
            <w:noWrap w:val="0"/>
            <w:tcMar>
              <w:left w:w="57" w:type="dxa"/>
              <w:right w:w="57" w:type="dxa"/>
            </w:tcMar>
            <w:vAlign w:val="center"/>
          </w:tcPr>
          <w:p w14:paraId="5CD465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自然人</w:t>
            </w:r>
          </w:p>
        </w:tc>
        <w:tc>
          <w:tcPr>
            <w:tcW w:w="3364" w:type="dxa"/>
            <w:gridSpan w:val="5"/>
            <w:tcBorders>
              <w:top w:val="single" w:color="auto" w:sz="8" w:space="0"/>
              <w:left w:val="nil"/>
              <w:bottom w:val="single" w:color="auto" w:sz="8" w:space="0"/>
              <w:right w:val="single" w:color="auto" w:sz="8" w:space="0"/>
            </w:tcBorders>
            <w:noWrap w:val="0"/>
            <w:tcMar>
              <w:left w:w="57" w:type="dxa"/>
              <w:right w:w="57" w:type="dxa"/>
            </w:tcMar>
            <w:vAlign w:val="center"/>
          </w:tcPr>
          <w:p w14:paraId="0F4FE3F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法人或其他组织</w:t>
            </w:r>
          </w:p>
        </w:tc>
        <w:tc>
          <w:tcPr>
            <w:tcW w:w="500" w:type="dxa"/>
            <w:vMerge w:val="restart"/>
            <w:tcBorders>
              <w:top w:val="single" w:color="auto" w:sz="8" w:space="0"/>
              <w:left w:val="nil"/>
              <w:bottom w:val="outset" w:color="auto" w:sz="8" w:space="0"/>
              <w:right w:val="single" w:color="auto" w:sz="8" w:space="0"/>
            </w:tcBorders>
            <w:noWrap w:val="0"/>
            <w:tcMar>
              <w:left w:w="57" w:type="dxa"/>
              <w:right w:w="57" w:type="dxa"/>
            </w:tcMar>
            <w:vAlign w:val="center"/>
          </w:tcPr>
          <w:p w14:paraId="2FEB1E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总计</w:t>
            </w:r>
          </w:p>
        </w:tc>
      </w:tr>
      <w:tr w14:paraId="0DE50C2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67" w:hRule="atLeast"/>
          <w:jc w:val="center"/>
        </w:trPr>
        <w:tc>
          <w:tcPr>
            <w:tcW w:w="4987" w:type="dxa"/>
            <w:gridSpan w:val="3"/>
            <w:vMerge w:val="continue"/>
            <w:tcBorders>
              <w:top w:val="single" w:color="auto" w:sz="8" w:space="0"/>
              <w:left w:val="single" w:color="auto" w:sz="8" w:space="0"/>
              <w:bottom w:val="outset" w:color="auto" w:sz="8" w:space="0"/>
              <w:right w:val="single" w:color="auto" w:sz="8" w:space="0"/>
            </w:tcBorders>
            <w:noWrap w:val="0"/>
            <w:tcMar>
              <w:left w:w="108" w:type="dxa"/>
              <w:right w:w="108" w:type="dxa"/>
            </w:tcMar>
            <w:vAlign w:val="center"/>
          </w:tcPr>
          <w:p w14:paraId="34A90BF7">
            <w:pPr>
              <w:rPr>
                <w:rFonts w:hint="eastAsia" w:ascii="宋体"/>
                <w:color w:val="000000"/>
                <w:sz w:val="24"/>
                <w:szCs w:val="24"/>
              </w:rPr>
            </w:pPr>
          </w:p>
        </w:tc>
        <w:tc>
          <w:tcPr>
            <w:tcW w:w="695" w:type="dxa"/>
            <w:vMerge w:val="continue"/>
            <w:tcBorders>
              <w:top w:val="nil"/>
              <w:left w:val="nil"/>
              <w:bottom w:val="single" w:color="auto" w:sz="8" w:space="0"/>
              <w:right w:val="single" w:color="auto" w:sz="8" w:space="0"/>
            </w:tcBorders>
            <w:noWrap w:val="0"/>
            <w:tcMar>
              <w:left w:w="57" w:type="dxa"/>
              <w:right w:w="57" w:type="dxa"/>
            </w:tcMar>
            <w:vAlign w:val="center"/>
          </w:tcPr>
          <w:p w14:paraId="1058501A">
            <w:pPr>
              <w:rPr>
                <w:rFonts w:hint="eastAsia" w:ascii="宋体"/>
                <w:color w:val="000000"/>
                <w:sz w:val="24"/>
                <w:szCs w:val="24"/>
              </w:rPr>
            </w:pP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0530E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商业</w:t>
            </w:r>
          </w:p>
          <w:p w14:paraId="7D08F47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企业</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0D447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科研</w:t>
            </w:r>
          </w:p>
          <w:p w14:paraId="19792A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机构</w:t>
            </w:r>
          </w:p>
        </w:tc>
        <w:tc>
          <w:tcPr>
            <w:tcW w:w="695" w:type="dxa"/>
            <w:tcBorders>
              <w:top w:val="single" w:color="auto" w:sz="8" w:space="0"/>
              <w:left w:val="nil"/>
              <w:bottom w:val="single" w:color="auto" w:sz="8" w:space="0"/>
              <w:right w:val="single" w:color="auto" w:sz="8" w:space="0"/>
            </w:tcBorders>
            <w:noWrap w:val="0"/>
            <w:tcMar>
              <w:left w:w="57" w:type="dxa"/>
              <w:right w:w="57" w:type="dxa"/>
            </w:tcMar>
            <w:vAlign w:val="center"/>
          </w:tcPr>
          <w:p w14:paraId="68EB3F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社会公益组织</w:t>
            </w:r>
          </w:p>
        </w:tc>
        <w:tc>
          <w:tcPr>
            <w:tcW w:w="695" w:type="dxa"/>
            <w:tcBorders>
              <w:top w:val="single" w:color="auto" w:sz="8" w:space="0"/>
              <w:left w:val="nil"/>
              <w:bottom w:val="single" w:color="auto" w:sz="8" w:space="0"/>
              <w:right w:val="single" w:color="auto" w:sz="8" w:space="0"/>
            </w:tcBorders>
            <w:noWrap w:val="0"/>
            <w:tcMar>
              <w:left w:w="57" w:type="dxa"/>
              <w:right w:w="57" w:type="dxa"/>
            </w:tcMar>
            <w:vAlign w:val="center"/>
          </w:tcPr>
          <w:p w14:paraId="766EF8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法律服务机构</w:t>
            </w:r>
          </w:p>
        </w:tc>
        <w:tc>
          <w:tcPr>
            <w:tcW w:w="584" w:type="dxa"/>
            <w:tcBorders>
              <w:top w:val="single" w:color="auto" w:sz="8" w:space="0"/>
              <w:left w:val="nil"/>
              <w:bottom w:val="single" w:color="auto" w:sz="8" w:space="0"/>
              <w:right w:val="single" w:color="auto" w:sz="8" w:space="0"/>
            </w:tcBorders>
            <w:noWrap w:val="0"/>
            <w:tcMar>
              <w:left w:w="57" w:type="dxa"/>
              <w:right w:w="57" w:type="dxa"/>
            </w:tcMar>
            <w:vAlign w:val="center"/>
          </w:tcPr>
          <w:p w14:paraId="02158E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宋体" w:hAnsi="宋体" w:eastAsia="宋体" w:cs="宋体"/>
                <w:color w:val="000000"/>
                <w:kern w:val="0"/>
                <w:sz w:val="20"/>
                <w:szCs w:val="20"/>
                <w:lang w:val="en-US" w:eastAsia="zh-CN" w:bidi="ar"/>
              </w:rPr>
              <w:t>其他</w:t>
            </w:r>
          </w:p>
        </w:tc>
        <w:tc>
          <w:tcPr>
            <w:tcW w:w="500" w:type="dxa"/>
            <w:vMerge w:val="continue"/>
            <w:tcBorders>
              <w:top w:val="single" w:color="auto" w:sz="8" w:space="0"/>
              <w:left w:val="nil"/>
              <w:bottom w:val="outset" w:color="auto" w:sz="8" w:space="0"/>
              <w:right w:val="single" w:color="auto" w:sz="8" w:space="0"/>
            </w:tcBorders>
            <w:noWrap w:val="0"/>
            <w:tcMar>
              <w:left w:w="57" w:type="dxa"/>
              <w:right w:w="57" w:type="dxa"/>
            </w:tcMar>
            <w:vAlign w:val="center"/>
          </w:tcPr>
          <w:p w14:paraId="0206029B">
            <w:pPr>
              <w:rPr>
                <w:rFonts w:hint="eastAsia" w:ascii="宋体"/>
                <w:color w:val="000000"/>
                <w:sz w:val="24"/>
                <w:szCs w:val="24"/>
              </w:rPr>
            </w:pPr>
          </w:p>
        </w:tc>
      </w:tr>
      <w:tr w14:paraId="59F98DB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17" w:hRule="atLeast"/>
          <w:jc w:val="center"/>
        </w:trPr>
        <w:tc>
          <w:tcPr>
            <w:tcW w:w="4987"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14:paraId="3D1A56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一、本年新收政府信息公开申请数量</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34AFC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eastAsia="宋体"/>
                <w:color w:val="000000"/>
                <w:lang w:val="en-US" w:eastAsia="zh-CN"/>
              </w:rPr>
            </w:pPr>
            <w:r>
              <w:rPr>
                <w:rFonts w:hint="eastAsia" w:eastAsia="宋体"/>
                <w:color w:val="000000"/>
                <w:lang w:val="en-US" w:eastAsia="zh-CN"/>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45E713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B69EFD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757DD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color w:val="000000"/>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5EC3D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15E6232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color w:val="000000"/>
                <w:lang w:val="en-US"/>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37487B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eastAsia="宋体"/>
                <w:color w:val="000000"/>
                <w:lang w:val="en-US" w:eastAsia="zh-CN"/>
              </w:rPr>
            </w:pPr>
            <w:r>
              <w:rPr>
                <w:rFonts w:hint="eastAsia" w:eastAsia="宋体"/>
                <w:color w:val="000000"/>
                <w:lang w:val="en-US" w:eastAsia="zh-CN"/>
              </w:rPr>
              <w:t>0</w:t>
            </w:r>
          </w:p>
        </w:tc>
      </w:tr>
      <w:tr w14:paraId="71375E7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4987"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14:paraId="30B52E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二、上年结转政府信息公开申请数量</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1CAD18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cs="Arial"/>
                <w:snapToGrid w:val="0"/>
                <w:color w:val="000000"/>
                <w:sz w:val="21"/>
                <w:szCs w:val="21"/>
                <w:lang w:val="en-US" w:eastAsia="zh-CN" w:bidi="ar-SA"/>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825C1B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26A53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14131A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2F9C4B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6F073B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70E804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cs="Arial"/>
                <w:snapToGrid w:val="0"/>
                <w:color w:val="000000"/>
                <w:sz w:val="21"/>
                <w:szCs w:val="21"/>
                <w:lang w:val="en-US" w:eastAsia="zh-CN" w:bidi="ar-SA"/>
              </w:rPr>
              <w:t>0</w:t>
            </w:r>
          </w:p>
        </w:tc>
      </w:tr>
      <w:tr w14:paraId="3A53774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restart"/>
            <w:tcBorders>
              <w:top w:val="nil"/>
              <w:left w:val="single" w:color="auto" w:sz="8" w:space="0"/>
              <w:bottom w:val="outset" w:color="auto" w:sz="8" w:space="0"/>
              <w:right w:val="single" w:color="auto" w:sz="8" w:space="0"/>
            </w:tcBorders>
            <w:noWrap w:val="0"/>
            <w:tcMar>
              <w:left w:w="57" w:type="dxa"/>
              <w:right w:w="57" w:type="dxa"/>
            </w:tcMar>
            <w:vAlign w:val="center"/>
          </w:tcPr>
          <w:p w14:paraId="67A0B4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三、本年度办理结果</w:t>
            </w:r>
          </w:p>
        </w:tc>
        <w:tc>
          <w:tcPr>
            <w:tcW w:w="4212" w:type="dxa"/>
            <w:gridSpan w:val="2"/>
            <w:tcBorders>
              <w:top w:val="nil"/>
              <w:left w:val="nil"/>
              <w:bottom w:val="single" w:color="auto" w:sz="8" w:space="0"/>
              <w:right w:val="single" w:color="auto" w:sz="8" w:space="0"/>
            </w:tcBorders>
            <w:noWrap w:val="0"/>
            <w:tcMar>
              <w:left w:w="57" w:type="dxa"/>
              <w:right w:w="57" w:type="dxa"/>
            </w:tcMar>
            <w:vAlign w:val="center"/>
          </w:tcPr>
          <w:p w14:paraId="664FA1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（一）予以公开</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D1C2E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cs="Arial"/>
                <w:snapToGrid w:val="0"/>
                <w:color w:val="000000"/>
                <w:sz w:val="21"/>
                <w:szCs w:val="21"/>
                <w:lang w:val="en-US" w:eastAsia="zh-CN" w:bidi="ar-SA"/>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5844D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8706F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6BCE6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378561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3669BC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single" w:color="auto" w:sz="8" w:space="0"/>
              <w:left w:val="nil"/>
              <w:bottom w:val="single" w:color="auto" w:sz="8" w:space="0"/>
              <w:right w:val="single" w:color="auto" w:sz="8" w:space="0"/>
            </w:tcBorders>
            <w:noWrap w:val="0"/>
            <w:tcMar>
              <w:left w:w="57" w:type="dxa"/>
              <w:right w:w="57" w:type="dxa"/>
            </w:tcMar>
            <w:vAlign w:val="center"/>
          </w:tcPr>
          <w:p w14:paraId="718CE3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1DECC7E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589"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11ACA258">
            <w:pPr>
              <w:rPr>
                <w:rFonts w:hint="eastAsia" w:ascii="宋体"/>
                <w:color w:val="000000"/>
                <w:sz w:val="24"/>
                <w:szCs w:val="24"/>
              </w:rPr>
            </w:pPr>
          </w:p>
        </w:tc>
        <w:tc>
          <w:tcPr>
            <w:tcW w:w="4212" w:type="dxa"/>
            <w:gridSpan w:val="2"/>
            <w:tcBorders>
              <w:top w:val="nil"/>
              <w:left w:val="nil"/>
              <w:bottom w:val="single" w:color="auto" w:sz="8" w:space="0"/>
              <w:right w:val="single" w:color="auto" w:sz="8" w:space="0"/>
            </w:tcBorders>
            <w:noWrap w:val="0"/>
            <w:tcMar>
              <w:left w:w="57" w:type="dxa"/>
              <w:right w:w="57" w:type="dxa"/>
            </w:tcMar>
            <w:vAlign w:val="center"/>
          </w:tcPr>
          <w:p w14:paraId="4B54F6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（二）部分公开</w:t>
            </w:r>
            <w:r>
              <w:rPr>
                <w:rFonts w:hint="eastAsia" w:ascii="楷体" w:hAnsi="楷体" w:eastAsia="楷体" w:cs="楷体"/>
                <w:color w:val="000000"/>
                <w:kern w:val="0"/>
                <w:sz w:val="20"/>
                <w:szCs w:val="20"/>
                <w:lang w:val="en-US" w:eastAsia="zh-CN" w:bidi="ar"/>
              </w:rPr>
              <w:t>（区分处理的，只计这一情形，不计其他情形）</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11756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87493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F300C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9D8162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149768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30831D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EC9DD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773B535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9F1AC1B">
            <w:pPr>
              <w:rPr>
                <w:rFonts w:hint="eastAsia" w:ascii="宋体"/>
                <w:color w:val="000000"/>
                <w:sz w:val="24"/>
                <w:szCs w:val="24"/>
              </w:rPr>
            </w:pPr>
          </w:p>
        </w:tc>
        <w:tc>
          <w:tcPr>
            <w:tcW w:w="953" w:type="dxa"/>
            <w:vMerge w:val="restart"/>
            <w:tcBorders>
              <w:top w:val="nil"/>
              <w:left w:val="nil"/>
              <w:bottom w:val="outset" w:color="auto" w:sz="8" w:space="0"/>
              <w:right w:val="single" w:color="auto" w:sz="8" w:space="0"/>
            </w:tcBorders>
            <w:noWrap w:val="0"/>
            <w:tcMar>
              <w:left w:w="57" w:type="dxa"/>
              <w:right w:w="57" w:type="dxa"/>
            </w:tcMar>
            <w:vAlign w:val="center"/>
          </w:tcPr>
          <w:p w14:paraId="058D5F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（三）不予公开</w:t>
            </w:r>
          </w:p>
        </w:tc>
        <w:tc>
          <w:tcPr>
            <w:tcW w:w="3259" w:type="dxa"/>
            <w:tcBorders>
              <w:top w:val="nil"/>
              <w:left w:val="nil"/>
              <w:bottom w:val="single" w:color="auto" w:sz="8" w:space="0"/>
              <w:right w:val="single" w:color="auto" w:sz="8" w:space="0"/>
            </w:tcBorders>
            <w:noWrap w:val="0"/>
            <w:tcMar>
              <w:left w:w="57" w:type="dxa"/>
              <w:right w:w="57" w:type="dxa"/>
            </w:tcMar>
            <w:vAlign w:val="top"/>
          </w:tcPr>
          <w:p w14:paraId="0CBA5F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1.属于国家秘密</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41DF0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589B20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73FDB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775C8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D1D8B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7AF232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single" w:color="auto" w:sz="8" w:space="0"/>
              <w:left w:val="nil"/>
              <w:bottom w:val="single" w:color="auto" w:sz="8" w:space="0"/>
              <w:right w:val="single" w:color="auto" w:sz="8" w:space="0"/>
            </w:tcBorders>
            <w:noWrap w:val="0"/>
            <w:tcMar>
              <w:left w:w="57" w:type="dxa"/>
              <w:right w:w="57" w:type="dxa"/>
            </w:tcMar>
            <w:vAlign w:val="center"/>
          </w:tcPr>
          <w:p w14:paraId="0DE022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74C0D49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090B8244">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29CBB0D4">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39E2A0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2.其他法律行政法规禁止公开</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2C6CB1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01920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42DE9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92451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78D47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3F69D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11787C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7F4AAEC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7348021F">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05365BC9">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5D9BDF6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3.危及“三安全一稳定”</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024DA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354B1E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28C6D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A4538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C3190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01DD6D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5BB42A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86AEA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671040DC">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11445DF4">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40FAD52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4.保护第三方合法权益</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68DB1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2B5A0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0A22B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EDDA2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701380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100C6D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3EAFBC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1BF100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9FF0951">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69ACD2F5">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5D7236E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5.属于三类内部事务信息</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CEA44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2DA80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AF6D73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25D89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2E9FF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459CAC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904B8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4535F4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13259123">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239BA918">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3E48FD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6.属于四类过程性信息</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C649FC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E441D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4100A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B4D34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0B4770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4D9770C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5D6501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5AAB50F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36966405">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17B53E3A">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14DD9D7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7.属于行政执法案卷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0D621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60996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008B7D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D5C182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747C18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1EBC056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15AD9C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13FC87F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11B25E75">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05353283">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4464CE9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8.属于行政查询事项</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7A538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8435E4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5AB3A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969C53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1FD9E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893B8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5CB5ABE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5CCC6F5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6412D545">
            <w:pPr>
              <w:rPr>
                <w:rFonts w:hint="eastAsia" w:ascii="宋体"/>
                <w:color w:val="000000"/>
                <w:sz w:val="24"/>
                <w:szCs w:val="24"/>
              </w:rPr>
            </w:pPr>
          </w:p>
        </w:tc>
        <w:tc>
          <w:tcPr>
            <w:tcW w:w="953" w:type="dxa"/>
            <w:vMerge w:val="restart"/>
            <w:tcBorders>
              <w:top w:val="nil"/>
              <w:left w:val="nil"/>
              <w:bottom w:val="outset" w:color="auto" w:sz="8" w:space="0"/>
              <w:right w:val="single" w:color="auto" w:sz="8" w:space="0"/>
            </w:tcBorders>
            <w:noWrap w:val="0"/>
            <w:tcMar>
              <w:left w:w="57" w:type="dxa"/>
              <w:right w:w="57" w:type="dxa"/>
            </w:tcMar>
            <w:vAlign w:val="center"/>
          </w:tcPr>
          <w:p w14:paraId="218F541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（四）无法提供</w:t>
            </w:r>
          </w:p>
        </w:tc>
        <w:tc>
          <w:tcPr>
            <w:tcW w:w="3259" w:type="dxa"/>
            <w:tcBorders>
              <w:top w:val="nil"/>
              <w:left w:val="nil"/>
              <w:bottom w:val="single" w:color="auto" w:sz="8" w:space="0"/>
              <w:right w:val="single" w:color="auto" w:sz="8" w:space="0"/>
            </w:tcBorders>
            <w:noWrap w:val="0"/>
            <w:tcMar>
              <w:left w:w="57" w:type="dxa"/>
              <w:right w:w="57" w:type="dxa"/>
            </w:tcMar>
            <w:vAlign w:val="top"/>
          </w:tcPr>
          <w:p w14:paraId="3D2B01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1.本机关不掌握相关政府信息</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86B9E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98D64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0AAB7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EA071C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D6122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0E493C1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7644FBC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1AC83F9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12C46D0">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744D9E8E">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38FDC4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2.没有现成信息需要另行制作</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DEA22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EAE47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E9A0CD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1EF867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4D36B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350245A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5AA478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0F83DF2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7903A98D">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3BC4BD93">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510747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3.补正后申请内容仍不明确</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5D48C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D2AE11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47E17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AE7FC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99999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FED67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4E8A723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CAE6FC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F738854">
            <w:pPr>
              <w:rPr>
                <w:rFonts w:hint="eastAsia" w:ascii="宋体"/>
                <w:color w:val="000000"/>
                <w:sz w:val="24"/>
                <w:szCs w:val="24"/>
              </w:rPr>
            </w:pPr>
          </w:p>
        </w:tc>
        <w:tc>
          <w:tcPr>
            <w:tcW w:w="953" w:type="dxa"/>
            <w:vMerge w:val="restart"/>
            <w:tcBorders>
              <w:top w:val="nil"/>
              <w:left w:val="nil"/>
              <w:bottom w:val="outset" w:color="auto" w:sz="8" w:space="0"/>
              <w:right w:val="single" w:color="auto" w:sz="8" w:space="0"/>
            </w:tcBorders>
            <w:noWrap w:val="0"/>
            <w:tcMar>
              <w:left w:w="57" w:type="dxa"/>
              <w:right w:w="57" w:type="dxa"/>
            </w:tcMar>
            <w:vAlign w:val="center"/>
          </w:tcPr>
          <w:p w14:paraId="4A91B9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（五）不予处理</w:t>
            </w:r>
          </w:p>
        </w:tc>
        <w:tc>
          <w:tcPr>
            <w:tcW w:w="3259" w:type="dxa"/>
            <w:tcBorders>
              <w:top w:val="nil"/>
              <w:left w:val="nil"/>
              <w:bottom w:val="single" w:color="auto" w:sz="8" w:space="0"/>
              <w:right w:val="single" w:color="auto" w:sz="8" w:space="0"/>
            </w:tcBorders>
            <w:noWrap w:val="0"/>
            <w:tcMar>
              <w:left w:w="57" w:type="dxa"/>
              <w:right w:w="57" w:type="dxa"/>
            </w:tcMar>
            <w:vAlign w:val="top"/>
          </w:tcPr>
          <w:p w14:paraId="002298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1.信访举报投诉类申请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DFD354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F2183A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C1A91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8049B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36D12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19DF97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69EAFA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19ECB0C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A955C63">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42ADDA2B">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4193323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2.重复申请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EC10CE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4061A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5D65C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10DF9B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A4551C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5848B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2AAFF7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AF99C1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02E997C">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2EA2223C">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589BF0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3.要求提供公开出版物</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9502E8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2DEF86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C6679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DD0AA9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3000D5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3B69790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6150133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4BE564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5C2FF84B">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45DBB432">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top"/>
          </w:tcPr>
          <w:p w14:paraId="1ADDCF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4.无正当理由大量反复申请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EF85F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33ACE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8C0957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A4D94D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D5EB1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E4681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20C19ED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728AF50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7"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5EA8424">
            <w:pPr>
              <w:rPr>
                <w:rFonts w:hint="eastAsia" w:ascii="宋体"/>
                <w:color w:val="000000"/>
                <w:sz w:val="24"/>
                <w:szCs w:val="24"/>
              </w:rPr>
            </w:pPr>
          </w:p>
        </w:tc>
        <w:tc>
          <w:tcPr>
            <w:tcW w:w="953" w:type="dxa"/>
            <w:vMerge w:val="continue"/>
            <w:tcBorders>
              <w:top w:val="nil"/>
              <w:left w:val="nil"/>
              <w:bottom w:val="outset" w:color="auto" w:sz="8" w:space="0"/>
              <w:right w:val="single" w:color="auto" w:sz="8" w:space="0"/>
            </w:tcBorders>
            <w:noWrap w:val="0"/>
            <w:tcMar>
              <w:left w:w="57" w:type="dxa"/>
              <w:right w:w="57" w:type="dxa"/>
            </w:tcMar>
            <w:vAlign w:val="center"/>
          </w:tcPr>
          <w:p w14:paraId="23CA7EB5">
            <w:pPr>
              <w:rPr>
                <w:rFonts w:hint="eastAsia" w:ascii="宋体"/>
                <w:color w:val="000000"/>
                <w:sz w:val="24"/>
                <w:szCs w:val="24"/>
              </w:rPr>
            </w:pPr>
          </w:p>
        </w:tc>
        <w:tc>
          <w:tcPr>
            <w:tcW w:w="3259" w:type="dxa"/>
            <w:tcBorders>
              <w:top w:val="nil"/>
              <w:left w:val="nil"/>
              <w:bottom w:val="outset" w:color="auto" w:sz="8" w:space="0"/>
              <w:right w:val="single" w:color="auto" w:sz="8" w:space="0"/>
            </w:tcBorders>
            <w:noWrap w:val="0"/>
            <w:tcMar>
              <w:left w:w="57" w:type="dxa"/>
              <w:right w:w="57" w:type="dxa"/>
            </w:tcMar>
            <w:vAlign w:val="center"/>
          </w:tcPr>
          <w:p w14:paraId="67EF3BA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rPr>
            </w:pPr>
            <w:r>
              <w:rPr>
                <w:rFonts w:hint="eastAsia" w:ascii="宋体" w:hAnsi="宋体" w:eastAsia="宋体" w:cs="宋体"/>
                <w:color w:val="000000"/>
                <w:kern w:val="0"/>
                <w:sz w:val="20"/>
                <w:szCs w:val="20"/>
                <w:lang w:val="en-US" w:eastAsia="zh-CN" w:bidi="ar"/>
              </w:rPr>
              <w:t>5.要求行政机关确认或重新出具已获取信息</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746C7A6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289FF23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58C958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60F6DB1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outset" w:color="auto" w:sz="8" w:space="0"/>
              <w:right w:val="single" w:color="auto" w:sz="8" w:space="0"/>
            </w:tcBorders>
            <w:noWrap w:val="0"/>
            <w:tcMar>
              <w:left w:w="57" w:type="dxa"/>
              <w:right w:w="57" w:type="dxa"/>
            </w:tcMar>
            <w:vAlign w:val="center"/>
          </w:tcPr>
          <w:p w14:paraId="6488B8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outset" w:color="auto" w:sz="8" w:space="0"/>
              <w:right w:val="single" w:color="auto" w:sz="8" w:space="0"/>
            </w:tcBorders>
            <w:noWrap w:val="0"/>
            <w:tcMar>
              <w:left w:w="57" w:type="dxa"/>
              <w:right w:w="57" w:type="dxa"/>
            </w:tcMar>
            <w:vAlign w:val="center"/>
          </w:tcPr>
          <w:p w14:paraId="3AF6C9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outset" w:color="auto" w:sz="8" w:space="0"/>
              <w:right w:val="single" w:color="auto" w:sz="8" w:space="0"/>
            </w:tcBorders>
            <w:noWrap w:val="0"/>
            <w:tcMar>
              <w:left w:w="57" w:type="dxa"/>
              <w:right w:w="57" w:type="dxa"/>
            </w:tcMar>
            <w:vAlign w:val="center"/>
          </w:tcPr>
          <w:p w14:paraId="45E6B93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50625C7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67"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3F5AA9C6">
            <w:pPr>
              <w:rPr>
                <w:rFonts w:hint="eastAsia" w:ascii="宋体"/>
                <w:color w:val="000000"/>
                <w:sz w:val="24"/>
                <w:szCs w:val="24"/>
              </w:rPr>
            </w:pPr>
          </w:p>
        </w:tc>
        <w:tc>
          <w:tcPr>
            <w:tcW w:w="953" w:type="dxa"/>
            <w:vMerge w:val="restart"/>
            <w:tcBorders>
              <w:top w:val="outset" w:color="auto" w:sz="8" w:space="0"/>
              <w:left w:val="nil"/>
              <w:bottom w:val="outset" w:color="auto" w:sz="8" w:space="0"/>
              <w:right w:val="single" w:color="auto" w:sz="8" w:space="0"/>
            </w:tcBorders>
            <w:noWrap w:val="0"/>
            <w:tcMar>
              <w:left w:w="57" w:type="dxa"/>
              <w:right w:w="57" w:type="dxa"/>
            </w:tcMar>
            <w:vAlign w:val="center"/>
          </w:tcPr>
          <w:p w14:paraId="00A5CBD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（六）其他处理</w:t>
            </w:r>
          </w:p>
        </w:tc>
        <w:tc>
          <w:tcPr>
            <w:tcW w:w="3259" w:type="dxa"/>
            <w:tcBorders>
              <w:top w:val="nil"/>
              <w:left w:val="nil"/>
              <w:bottom w:val="single" w:color="auto" w:sz="8" w:space="0"/>
              <w:right w:val="single" w:color="auto" w:sz="8" w:space="0"/>
            </w:tcBorders>
            <w:noWrap w:val="0"/>
            <w:tcMar>
              <w:left w:w="57" w:type="dxa"/>
              <w:right w:w="57" w:type="dxa"/>
            </w:tcMar>
            <w:vAlign w:val="center"/>
          </w:tcPr>
          <w:p w14:paraId="77661C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rPr>
            </w:pPr>
            <w:r>
              <w:rPr>
                <w:rFonts w:hint="eastAsia" w:ascii="宋体" w:hAnsi="宋体" w:eastAsia="宋体" w:cs="宋体"/>
                <w:color w:val="000000"/>
                <w:kern w:val="0"/>
                <w:sz w:val="20"/>
                <w:szCs w:val="20"/>
                <w:lang w:val="en-US" w:eastAsia="zh-CN" w:bidi="ar"/>
              </w:rPr>
              <w:t>1.申请人无正当理由逾期不补正、行政机关不再处理其政府信息公开申请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9EBCA9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89301E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E5E10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1324AA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5353B9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5FAF4E4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76254C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7FE811D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867"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20984867">
            <w:pPr>
              <w:rPr>
                <w:rFonts w:hint="eastAsia" w:ascii="宋体"/>
                <w:color w:val="000000"/>
                <w:sz w:val="24"/>
                <w:szCs w:val="24"/>
              </w:rPr>
            </w:pPr>
          </w:p>
        </w:tc>
        <w:tc>
          <w:tcPr>
            <w:tcW w:w="95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14:paraId="46276050">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center"/>
          </w:tcPr>
          <w:p w14:paraId="26118EF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000000"/>
              </w:rPr>
            </w:pPr>
            <w:r>
              <w:rPr>
                <w:rFonts w:hint="eastAsia" w:ascii="宋体" w:hAnsi="宋体" w:eastAsia="宋体" w:cs="宋体"/>
                <w:color w:val="000000"/>
                <w:kern w:val="0"/>
                <w:sz w:val="20"/>
                <w:szCs w:val="20"/>
                <w:lang w:val="en-US" w:eastAsia="zh-CN" w:bidi="ar"/>
              </w:rPr>
              <w:t>2.申请人逾期未按收费通知要求缴纳费用、行政机关不再处理其政府信息公开申请</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0F640F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3492BA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6B6F3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9BD3F0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A0F9F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219B264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811C4B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07AF550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62503488">
            <w:pPr>
              <w:rPr>
                <w:rFonts w:hint="eastAsia" w:ascii="宋体"/>
                <w:color w:val="000000"/>
                <w:sz w:val="24"/>
                <w:szCs w:val="24"/>
              </w:rPr>
            </w:pPr>
          </w:p>
        </w:tc>
        <w:tc>
          <w:tcPr>
            <w:tcW w:w="953" w:type="dxa"/>
            <w:vMerge w:val="continue"/>
            <w:tcBorders>
              <w:top w:val="outset" w:color="auto" w:sz="8" w:space="0"/>
              <w:left w:val="nil"/>
              <w:bottom w:val="outset" w:color="auto" w:sz="8" w:space="0"/>
              <w:right w:val="single" w:color="auto" w:sz="8" w:space="0"/>
            </w:tcBorders>
            <w:noWrap w:val="0"/>
            <w:tcMar>
              <w:left w:w="57" w:type="dxa"/>
              <w:right w:w="57" w:type="dxa"/>
            </w:tcMar>
            <w:vAlign w:val="center"/>
          </w:tcPr>
          <w:p w14:paraId="00CBFCB5">
            <w:pPr>
              <w:rPr>
                <w:rFonts w:hint="eastAsia" w:ascii="宋体"/>
                <w:color w:val="000000"/>
                <w:sz w:val="24"/>
                <w:szCs w:val="24"/>
              </w:rPr>
            </w:pPr>
          </w:p>
        </w:tc>
        <w:tc>
          <w:tcPr>
            <w:tcW w:w="3259" w:type="dxa"/>
            <w:tcBorders>
              <w:top w:val="nil"/>
              <w:left w:val="nil"/>
              <w:bottom w:val="single" w:color="auto" w:sz="8" w:space="0"/>
              <w:right w:val="single" w:color="auto" w:sz="8" w:space="0"/>
            </w:tcBorders>
            <w:noWrap w:val="0"/>
            <w:tcMar>
              <w:left w:w="57" w:type="dxa"/>
              <w:right w:w="57" w:type="dxa"/>
            </w:tcMar>
            <w:vAlign w:val="center"/>
          </w:tcPr>
          <w:p w14:paraId="2AF927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3.其他</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910DD6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A6F635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B7594E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70C1F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15768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0612F1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40229A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737BA9B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12" w:hRule="atLeast"/>
          <w:jc w:val="center"/>
        </w:trPr>
        <w:tc>
          <w:tcPr>
            <w:tcW w:w="775" w:type="dxa"/>
            <w:vMerge w:val="continue"/>
            <w:tcBorders>
              <w:top w:val="nil"/>
              <w:left w:val="single" w:color="auto" w:sz="8" w:space="0"/>
              <w:bottom w:val="outset" w:color="auto" w:sz="8" w:space="0"/>
              <w:right w:val="single" w:color="auto" w:sz="8" w:space="0"/>
            </w:tcBorders>
            <w:noWrap w:val="0"/>
            <w:tcMar>
              <w:left w:w="57" w:type="dxa"/>
              <w:right w:w="57" w:type="dxa"/>
            </w:tcMar>
            <w:vAlign w:val="center"/>
          </w:tcPr>
          <w:p w14:paraId="483105E1">
            <w:pPr>
              <w:rPr>
                <w:rFonts w:hint="eastAsia" w:ascii="宋体"/>
                <w:color w:val="000000"/>
                <w:sz w:val="24"/>
                <w:szCs w:val="24"/>
              </w:rPr>
            </w:pPr>
          </w:p>
        </w:tc>
        <w:tc>
          <w:tcPr>
            <w:tcW w:w="4212" w:type="dxa"/>
            <w:gridSpan w:val="2"/>
            <w:tcBorders>
              <w:top w:val="nil"/>
              <w:left w:val="nil"/>
              <w:bottom w:val="single" w:color="auto" w:sz="8" w:space="0"/>
              <w:right w:val="single" w:color="auto" w:sz="8" w:space="0"/>
            </w:tcBorders>
            <w:noWrap w:val="0"/>
            <w:tcMar>
              <w:left w:w="57" w:type="dxa"/>
              <w:right w:w="57" w:type="dxa"/>
            </w:tcMar>
            <w:vAlign w:val="center"/>
          </w:tcPr>
          <w:p w14:paraId="7AAA40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（七）总计</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391270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9B14D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739BE5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652499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1BB1AC5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4DFFC3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6D2A4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r w14:paraId="244762F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76" w:hRule="atLeast"/>
          <w:jc w:val="center"/>
        </w:trPr>
        <w:tc>
          <w:tcPr>
            <w:tcW w:w="4987" w:type="dxa"/>
            <w:gridSpan w:val="3"/>
            <w:tcBorders>
              <w:top w:val="nil"/>
              <w:left w:val="single" w:color="auto" w:sz="8" w:space="0"/>
              <w:bottom w:val="single" w:color="auto" w:sz="8" w:space="0"/>
              <w:right w:val="single" w:color="auto" w:sz="8" w:space="0"/>
            </w:tcBorders>
            <w:noWrap w:val="0"/>
            <w:tcMar>
              <w:left w:w="57" w:type="dxa"/>
              <w:right w:w="57" w:type="dxa"/>
            </w:tcMar>
            <w:vAlign w:val="center"/>
          </w:tcPr>
          <w:p w14:paraId="4CA33A8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rPr>
                <w:color w:val="000000"/>
              </w:rPr>
            </w:pPr>
            <w:r>
              <w:rPr>
                <w:rFonts w:hint="eastAsia" w:ascii="宋体" w:hAnsi="宋体" w:eastAsia="宋体" w:cs="宋体"/>
                <w:color w:val="000000"/>
                <w:kern w:val="0"/>
                <w:sz w:val="20"/>
                <w:szCs w:val="20"/>
                <w:lang w:val="en-US" w:eastAsia="zh-CN" w:bidi="ar"/>
              </w:rPr>
              <w:t>四、结转下年度继续办理</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153080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45FEFD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2E737DD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59F85C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695" w:type="dxa"/>
            <w:tcBorders>
              <w:top w:val="nil"/>
              <w:left w:val="nil"/>
              <w:bottom w:val="single" w:color="auto" w:sz="8" w:space="0"/>
              <w:right w:val="single" w:color="auto" w:sz="8" w:space="0"/>
            </w:tcBorders>
            <w:noWrap w:val="0"/>
            <w:tcMar>
              <w:left w:w="57" w:type="dxa"/>
              <w:right w:w="57" w:type="dxa"/>
            </w:tcMar>
            <w:vAlign w:val="center"/>
          </w:tcPr>
          <w:p w14:paraId="6CCAFC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84" w:type="dxa"/>
            <w:tcBorders>
              <w:top w:val="nil"/>
              <w:left w:val="nil"/>
              <w:bottom w:val="single" w:color="auto" w:sz="8" w:space="0"/>
              <w:right w:val="single" w:color="auto" w:sz="8" w:space="0"/>
            </w:tcBorders>
            <w:noWrap w:val="0"/>
            <w:tcMar>
              <w:left w:w="57" w:type="dxa"/>
              <w:right w:w="57" w:type="dxa"/>
            </w:tcMar>
            <w:vAlign w:val="center"/>
          </w:tcPr>
          <w:p w14:paraId="1AC761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default"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c>
          <w:tcPr>
            <w:tcW w:w="500" w:type="dxa"/>
            <w:tcBorders>
              <w:top w:val="nil"/>
              <w:left w:val="nil"/>
              <w:bottom w:val="single" w:color="auto" w:sz="8" w:space="0"/>
              <w:right w:val="single" w:color="auto" w:sz="8" w:space="0"/>
            </w:tcBorders>
            <w:noWrap w:val="0"/>
            <w:tcMar>
              <w:left w:w="57" w:type="dxa"/>
              <w:right w:w="57" w:type="dxa"/>
            </w:tcMar>
            <w:vAlign w:val="center"/>
          </w:tcPr>
          <w:p w14:paraId="03B5122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rightChars="0"/>
              <w:jc w:val="center"/>
              <w:rPr>
                <w:rFonts w:hint="eastAsia" w:ascii="Arial" w:hAnsi="Arial" w:eastAsia="Arial" w:cs="Arial"/>
                <w:snapToGrid w:val="0"/>
                <w:color w:val="000000"/>
                <w:sz w:val="21"/>
                <w:szCs w:val="21"/>
                <w:lang w:val="en-US" w:eastAsia="zh-CN" w:bidi="ar-SA"/>
              </w:rPr>
            </w:pPr>
            <w:r>
              <w:rPr>
                <w:rFonts w:hint="eastAsia" w:ascii="Calibri" w:hAnsi="Calibri" w:eastAsia="宋体" w:cs="Calibri"/>
                <w:color w:val="000000"/>
                <w:kern w:val="0"/>
                <w:sz w:val="20"/>
                <w:szCs w:val="20"/>
                <w:lang w:val="en-US" w:eastAsia="zh-CN" w:bidi="ar"/>
              </w:rPr>
              <w:t>0</w:t>
            </w:r>
          </w:p>
        </w:tc>
      </w:tr>
    </w:tbl>
    <w:p w14:paraId="3EC0643A">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0"/>
        <w:jc w:val="both"/>
        <w:rPr>
          <w:rFonts w:hint="eastAsia" w:ascii="宋体" w:hAnsi="宋体" w:eastAsia="宋体" w:cs="宋体"/>
          <w:i w:val="0"/>
          <w:caps w:val="0"/>
          <w:color w:val="000000"/>
          <w:spacing w:val="0"/>
          <w:sz w:val="24"/>
          <w:szCs w:val="24"/>
        </w:rPr>
      </w:pPr>
    </w:p>
    <w:p w14:paraId="5B06A04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420"/>
        <w:jc w:val="both"/>
        <w:textAlignment w:val="auto"/>
        <w:rPr>
          <w:rFonts w:hint="eastAsia" w:ascii="黑体" w:hAnsi="黑体" w:eastAsia="黑体" w:cs="黑体"/>
          <w:b w:val="0"/>
          <w:bCs/>
          <w:i w:val="0"/>
          <w:caps w:val="0"/>
          <w:color w:val="000000"/>
          <w:spacing w:val="0"/>
          <w:sz w:val="24"/>
          <w:szCs w:val="24"/>
          <w:shd w:val="clear" w:color="auto" w:fill="FFFFFF"/>
        </w:rPr>
      </w:pPr>
      <w:r>
        <w:rPr>
          <w:rFonts w:hint="eastAsia" w:ascii="黑体" w:hAnsi="黑体" w:eastAsia="黑体" w:cs="黑体"/>
          <w:b w:val="0"/>
          <w:bCs/>
          <w:i w:val="0"/>
          <w:caps w:val="0"/>
          <w:color w:val="000000"/>
          <w:spacing w:val="0"/>
          <w:sz w:val="32"/>
          <w:szCs w:val="32"/>
          <w:shd w:val="clear" w:color="auto" w:fill="FFFFFF"/>
        </w:rPr>
        <w:t>四、政府信息公开行政复议、行政诉讼情况</w:t>
      </w:r>
    </w:p>
    <w:tbl>
      <w:tblPr>
        <w:tblStyle w:val="7"/>
        <w:tblW w:w="9799"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652"/>
        <w:gridCol w:w="652"/>
        <w:gridCol w:w="652"/>
        <w:gridCol w:w="652"/>
        <w:gridCol w:w="654"/>
        <w:gridCol w:w="652"/>
        <w:gridCol w:w="652"/>
        <w:gridCol w:w="653"/>
        <w:gridCol w:w="653"/>
        <w:gridCol w:w="655"/>
        <w:gridCol w:w="654"/>
        <w:gridCol w:w="654"/>
        <w:gridCol w:w="654"/>
        <w:gridCol w:w="654"/>
        <w:gridCol w:w="656"/>
      </w:tblGrid>
      <w:tr w14:paraId="3EC5EFE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7" w:hRule="atLeast"/>
          <w:jc w:val="center"/>
        </w:trPr>
        <w:tc>
          <w:tcPr>
            <w:tcW w:w="326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9DBE86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行政复议</w:t>
            </w:r>
          </w:p>
        </w:tc>
        <w:tc>
          <w:tcPr>
            <w:tcW w:w="6537" w:type="dxa"/>
            <w:gridSpan w:val="10"/>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AB2175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行政诉讼</w:t>
            </w:r>
          </w:p>
        </w:tc>
      </w:tr>
      <w:tr w14:paraId="19B28B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47" w:hRule="atLeast"/>
          <w:jc w:val="center"/>
        </w:trPr>
        <w:tc>
          <w:tcPr>
            <w:tcW w:w="652"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276AC7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结果维持</w:t>
            </w:r>
          </w:p>
        </w:tc>
        <w:tc>
          <w:tcPr>
            <w:tcW w:w="652" w:type="dxa"/>
            <w:vMerge w:val="restart"/>
            <w:tcBorders>
              <w:top w:val="nil"/>
              <w:left w:val="single" w:color="auto" w:sz="8" w:space="0"/>
              <w:bottom w:val="single" w:color="auto" w:sz="8" w:space="0"/>
              <w:right w:val="single" w:color="auto" w:sz="8" w:space="0"/>
            </w:tcBorders>
            <w:noWrap w:val="0"/>
            <w:tcMar>
              <w:left w:w="108" w:type="dxa"/>
              <w:right w:w="108" w:type="dxa"/>
            </w:tcMar>
            <w:vAlign w:val="center"/>
          </w:tcPr>
          <w:p w14:paraId="3AF0B3A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0A70ADD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纠正</w:t>
            </w:r>
          </w:p>
        </w:tc>
        <w:tc>
          <w:tcPr>
            <w:tcW w:w="65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9EA19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其他</w:t>
            </w:r>
          </w:p>
          <w:p w14:paraId="4859664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结果</w:t>
            </w:r>
          </w:p>
        </w:tc>
        <w:tc>
          <w:tcPr>
            <w:tcW w:w="652"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60CBA7F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尚未</w:t>
            </w:r>
          </w:p>
          <w:p w14:paraId="33A388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审结</w:t>
            </w:r>
          </w:p>
        </w:tc>
        <w:tc>
          <w:tcPr>
            <w:tcW w:w="654" w:type="dxa"/>
            <w:vMerge w:val="restart"/>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796BBF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总计</w:t>
            </w:r>
          </w:p>
        </w:tc>
        <w:tc>
          <w:tcPr>
            <w:tcW w:w="3265"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C6A6AC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未经复议直接起诉</w:t>
            </w:r>
          </w:p>
        </w:tc>
        <w:tc>
          <w:tcPr>
            <w:tcW w:w="3272" w:type="dxa"/>
            <w:gridSpan w:val="5"/>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0CAFED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复议后起诉</w:t>
            </w:r>
          </w:p>
        </w:tc>
      </w:tr>
      <w:tr w14:paraId="61EB2DF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3" w:hRule="atLeast"/>
          <w:jc w:val="center"/>
        </w:trPr>
        <w:tc>
          <w:tcPr>
            <w:tcW w:w="652"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7822E454">
            <w:pPr>
              <w:rPr>
                <w:rFonts w:hint="eastAsia" w:ascii="宋体"/>
                <w:color w:val="000000"/>
                <w:sz w:val="24"/>
                <w:szCs w:val="24"/>
              </w:rPr>
            </w:pPr>
          </w:p>
        </w:tc>
        <w:tc>
          <w:tcPr>
            <w:tcW w:w="652" w:type="dxa"/>
            <w:vMerge w:val="continue"/>
            <w:tcBorders>
              <w:top w:val="nil"/>
              <w:left w:val="single" w:color="auto" w:sz="8" w:space="0"/>
              <w:bottom w:val="single" w:color="auto" w:sz="8" w:space="0"/>
              <w:right w:val="single" w:color="auto" w:sz="8" w:space="0"/>
            </w:tcBorders>
            <w:noWrap w:val="0"/>
            <w:tcMar>
              <w:left w:w="108" w:type="dxa"/>
              <w:right w:w="108" w:type="dxa"/>
            </w:tcMar>
            <w:vAlign w:val="center"/>
          </w:tcPr>
          <w:p w14:paraId="6B9BDD7F">
            <w:pPr>
              <w:rPr>
                <w:rFonts w:hint="eastAsia" w:ascii="宋体"/>
                <w:color w:val="000000"/>
                <w:sz w:val="24"/>
                <w:szCs w:val="24"/>
              </w:rPr>
            </w:pPr>
          </w:p>
        </w:tc>
        <w:tc>
          <w:tcPr>
            <w:tcW w:w="65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4345DC48">
            <w:pPr>
              <w:rPr>
                <w:rFonts w:hint="eastAsia" w:ascii="宋体"/>
                <w:color w:val="000000"/>
                <w:sz w:val="24"/>
                <w:szCs w:val="24"/>
              </w:rPr>
            </w:pPr>
          </w:p>
        </w:tc>
        <w:tc>
          <w:tcPr>
            <w:tcW w:w="652"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4E1A288">
            <w:pPr>
              <w:rPr>
                <w:rFonts w:hint="eastAsia" w:ascii="宋体"/>
                <w:color w:val="000000"/>
                <w:sz w:val="24"/>
                <w:szCs w:val="24"/>
              </w:rPr>
            </w:pPr>
          </w:p>
        </w:tc>
        <w:tc>
          <w:tcPr>
            <w:tcW w:w="654" w:type="dxa"/>
            <w:vMerge w:val="continue"/>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1E518E6">
            <w:pPr>
              <w:rPr>
                <w:rFonts w:hint="eastAsia" w:ascii="宋体"/>
                <w:color w:val="000000"/>
                <w:sz w:val="24"/>
                <w:szCs w:val="24"/>
              </w:rPr>
            </w:pP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CFF090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76F7486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维持</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6BCAA5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437344B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纠正</w:t>
            </w:r>
          </w:p>
        </w:tc>
        <w:tc>
          <w:tcPr>
            <w:tcW w:w="65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AF2EE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其他</w:t>
            </w:r>
          </w:p>
          <w:p w14:paraId="5843DA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结果</w:t>
            </w:r>
          </w:p>
        </w:tc>
        <w:tc>
          <w:tcPr>
            <w:tcW w:w="653"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91D40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尚未</w:t>
            </w:r>
          </w:p>
          <w:p w14:paraId="14082E8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审结</w:t>
            </w:r>
          </w:p>
        </w:tc>
        <w:tc>
          <w:tcPr>
            <w:tcW w:w="655"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685167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总计</w:t>
            </w:r>
          </w:p>
        </w:tc>
        <w:tc>
          <w:tcPr>
            <w:tcW w:w="65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786D450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78989DB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维持</w:t>
            </w:r>
          </w:p>
        </w:tc>
        <w:tc>
          <w:tcPr>
            <w:tcW w:w="65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3FA1D8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结果</w:t>
            </w:r>
          </w:p>
          <w:p w14:paraId="31D912F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纠正</w:t>
            </w:r>
          </w:p>
        </w:tc>
        <w:tc>
          <w:tcPr>
            <w:tcW w:w="65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2E2D7D0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其他</w:t>
            </w:r>
          </w:p>
          <w:p w14:paraId="59FF10A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结果</w:t>
            </w:r>
          </w:p>
        </w:tc>
        <w:tc>
          <w:tcPr>
            <w:tcW w:w="654"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5E13595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尚未</w:t>
            </w:r>
          </w:p>
          <w:p w14:paraId="0DE7BCF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审结</w:t>
            </w:r>
          </w:p>
        </w:tc>
        <w:tc>
          <w:tcPr>
            <w:tcW w:w="656"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13330D8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宋体" w:hAnsi="宋体" w:eastAsia="宋体" w:cs="宋体"/>
                <w:color w:val="000000"/>
                <w:kern w:val="0"/>
                <w:sz w:val="20"/>
                <w:szCs w:val="20"/>
                <w:lang w:val="en-US" w:eastAsia="zh-CN" w:bidi="ar"/>
              </w:rPr>
              <w:t>总计</w:t>
            </w:r>
          </w:p>
        </w:tc>
      </w:tr>
      <w:tr w14:paraId="071557B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744" w:hRule="atLeast"/>
          <w:jc w:val="center"/>
        </w:trPr>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0A245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rFonts w:hint="eastAsia" w:eastAsia="宋体"/>
                <w:color w:val="000000"/>
                <w:lang w:val="en-US" w:eastAsia="zh-CN"/>
              </w:rPr>
            </w:pPr>
            <w:r>
              <w:rPr>
                <w:rFonts w:hint="eastAsia" w:eastAsia="宋体"/>
                <w:color w:val="000000"/>
                <w:lang w:val="en-US" w:eastAsia="zh-CN"/>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BC5A4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4C3141F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05A2C91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CBF01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14E97E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2"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BECA85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1024DC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3"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869D6C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5"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DFA9C6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4867C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219184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45C8D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4" w:type="dxa"/>
            <w:tcBorders>
              <w:top w:val="nil"/>
              <w:left w:val="single" w:color="auto" w:sz="8" w:space="0"/>
              <w:bottom w:val="single" w:color="auto" w:sz="8" w:space="0"/>
              <w:right w:val="single" w:color="auto" w:sz="8" w:space="0"/>
            </w:tcBorders>
            <w:noWrap w:val="0"/>
            <w:tcMar>
              <w:left w:w="108" w:type="dxa"/>
              <w:right w:w="108" w:type="dxa"/>
            </w:tcMar>
            <w:vAlign w:val="center"/>
          </w:tcPr>
          <w:p w14:paraId="5517A52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jc w:val="center"/>
              <w:rPr>
                <w:color w:val="000000"/>
              </w:rPr>
            </w:pPr>
            <w:r>
              <w:rPr>
                <w:rFonts w:hint="eastAsia" w:ascii="黑体" w:hAnsi="宋体" w:eastAsia="黑体" w:cs="黑体"/>
                <w:color w:val="000000"/>
                <w:kern w:val="0"/>
                <w:sz w:val="20"/>
                <w:szCs w:val="20"/>
                <w:lang w:val="en-US" w:eastAsia="zh-CN" w:bidi="ar"/>
              </w:rPr>
              <w:t>0</w:t>
            </w:r>
          </w:p>
        </w:tc>
        <w:tc>
          <w:tcPr>
            <w:tcW w:w="656"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C0BBC77">
            <w:pPr>
              <w:jc w:val="center"/>
              <w:rPr>
                <w:rFonts w:hint="eastAsia" w:ascii="宋体" w:eastAsia="宋体"/>
                <w:color w:val="000000"/>
                <w:sz w:val="24"/>
                <w:szCs w:val="24"/>
                <w:lang w:val="en-US" w:eastAsia="zh-CN"/>
              </w:rPr>
            </w:pPr>
            <w:r>
              <w:rPr>
                <w:rFonts w:hint="eastAsia" w:ascii="宋体" w:eastAsia="宋体"/>
                <w:color w:val="000000"/>
                <w:sz w:val="24"/>
                <w:szCs w:val="24"/>
                <w:lang w:val="en-US" w:eastAsia="zh-CN"/>
              </w:rPr>
              <w:t>0</w:t>
            </w:r>
          </w:p>
        </w:tc>
      </w:tr>
    </w:tbl>
    <w:p w14:paraId="69EEAF33">
      <w:pPr>
        <w:keepNext w:val="0"/>
        <w:keepLines w:val="0"/>
        <w:pageBreakBefore w:val="0"/>
        <w:widowControl w:val="0"/>
        <w:kinsoku/>
        <w:wordWrap/>
        <w:overflowPunct/>
        <w:topLinePunct w:val="0"/>
        <w:autoSpaceDE/>
        <w:autoSpaceDN/>
        <w:bidi w:val="0"/>
        <w:spacing w:line="600" w:lineRule="exact"/>
        <w:ind w:firstLine="640" w:firstLineChars="200"/>
        <w:jc w:val="both"/>
        <w:outlineLvl w:val="1"/>
        <w:rPr>
          <w:rFonts w:hint="eastAsia" w:ascii="黑体" w:hAnsi="黑体" w:eastAsia="黑体" w:cs="黑体"/>
          <w:snapToGrid/>
          <w:kern w:val="2"/>
          <w:sz w:val="32"/>
          <w:szCs w:val="32"/>
        </w:rPr>
      </w:pPr>
      <w:r>
        <w:rPr>
          <w:rFonts w:hint="eastAsia" w:ascii="黑体" w:hAnsi="黑体" w:eastAsia="黑体" w:cs="黑体"/>
          <w:snapToGrid/>
          <w:kern w:val="2"/>
          <w:sz w:val="32"/>
          <w:szCs w:val="32"/>
        </w:rPr>
        <w:t>五、存在的主要问题及改进情况</w:t>
      </w:r>
    </w:p>
    <w:p w14:paraId="00B48DA6">
      <w:pPr>
        <w:keepNext w:val="0"/>
        <w:keepLines w:val="0"/>
        <w:pageBreakBefore w:val="0"/>
        <w:widowControl w:val="0"/>
        <w:kinsoku/>
        <w:wordWrap/>
        <w:overflowPunct/>
        <w:topLinePunct w:val="0"/>
        <w:autoSpaceDE/>
        <w:autoSpaceDN/>
        <w:bidi w:val="0"/>
        <w:adjustRightInd/>
        <w:snapToGrid/>
        <w:spacing w:line="580" w:lineRule="exact"/>
        <w:ind w:firstLine="592" w:firstLineChars="200"/>
        <w:textAlignment w:val="auto"/>
        <w:rPr>
          <w:rFonts w:hint="eastAsia" w:ascii="仿宋" w:hAnsi="仿宋" w:eastAsia="仿宋" w:cs="仿宋"/>
          <w:b w:val="0"/>
          <w:bCs w:val="0"/>
          <w:spacing w:val="-12"/>
          <w:sz w:val="32"/>
          <w:lang w:val="en-US" w:eastAsia="zh-CN"/>
        </w:rPr>
      </w:pPr>
      <w:r>
        <w:rPr>
          <w:rFonts w:hint="eastAsia" w:ascii="仿宋" w:hAnsi="仿宋" w:eastAsia="仿宋" w:cs="仿宋"/>
          <w:b w:val="0"/>
          <w:bCs w:val="0"/>
          <w:spacing w:val="-12"/>
          <w:sz w:val="32"/>
          <w:lang w:val="en-US" w:eastAsia="zh-CN"/>
        </w:rPr>
        <w:t>1、</w:t>
      </w:r>
      <w:r>
        <w:rPr>
          <w:rFonts w:hint="eastAsia" w:ascii="仿宋" w:hAnsi="仿宋" w:eastAsia="仿宋" w:cs="仿宋"/>
          <w:b/>
          <w:bCs/>
          <w:spacing w:val="-12"/>
          <w:sz w:val="32"/>
          <w:lang w:val="en-US" w:eastAsia="zh-CN"/>
        </w:rPr>
        <w:t>全年工作，仍存在一些短板和不足。</w:t>
      </w:r>
      <w:r>
        <w:rPr>
          <w:rFonts w:hint="eastAsia" w:ascii="仿宋" w:hAnsi="仿宋" w:eastAsia="仿宋" w:cs="仿宋"/>
          <w:b w:val="0"/>
          <w:bCs w:val="0"/>
          <w:spacing w:val="-12"/>
          <w:sz w:val="32"/>
          <w:lang w:val="en-US" w:eastAsia="zh-CN"/>
        </w:rPr>
        <w:t>一是法治意识有待进一步提高。部分干部职工运用法治思维和法治方式解决问题的能力还不够强，在执法过程中还存在重实体、轻程序、执法不规范等问题。二是执法队伍素质有待进一步提升。随着市场监管领域法律法规不断更新和监管任务日益繁重，执法人员的业务知识和专业技能不能完全适应新形势下市场监管工作的需要。三是新兴业态监管制度不够完善。外卖、预制品、直播电商等新型业态领域监管仍需加强；四是普法宣传效果有待进一步增强。普法宣传方式还比较传统，创新不足，部分群众对市场监管领域法律法规的知晓度和认知度还不高，普法宣传的覆盖面和影响力还有待进一步扩大。</w:t>
      </w:r>
    </w:p>
    <w:p w14:paraId="5A2B75C3">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 w:hAnsi="仿宋" w:eastAsia="仿宋" w:cs="仿宋"/>
          <w:b w:val="0"/>
          <w:bCs w:val="0"/>
          <w:spacing w:val="-12"/>
          <w:sz w:val="32"/>
          <w:lang w:val="en-US" w:eastAsia="zh-CN"/>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w:t>
      </w:r>
      <w:r>
        <w:rPr>
          <w:rFonts w:hint="eastAsia" w:ascii="仿宋" w:hAnsi="仿宋" w:eastAsia="仿宋" w:cs="仿宋"/>
          <w:b/>
          <w:bCs/>
          <w:sz w:val="32"/>
          <w:szCs w:val="32"/>
          <w:lang w:val="en-US" w:eastAsia="zh-CN"/>
        </w:rPr>
        <w:t>改进情况</w:t>
      </w:r>
      <w:r>
        <w:rPr>
          <w:rFonts w:hint="eastAsia" w:ascii="仿宋" w:hAnsi="仿宋" w:eastAsia="仿宋" w:cs="仿宋"/>
          <w:b/>
          <w:bCs/>
          <w:sz w:val="32"/>
          <w:szCs w:val="32"/>
          <w:lang w:eastAsia="zh-CN"/>
        </w:rPr>
        <w:t>。</w:t>
      </w:r>
      <w:r>
        <w:rPr>
          <w:rFonts w:hint="eastAsia" w:ascii="仿宋" w:hAnsi="仿宋" w:eastAsia="仿宋" w:cs="仿宋"/>
          <w:b w:val="0"/>
          <w:bCs w:val="0"/>
          <w:sz w:val="32"/>
          <w:szCs w:val="32"/>
          <w:lang w:val="en-US" w:eastAsia="zh-CN"/>
        </w:rPr>
        <w:t>一是加强法治学习，提高法治意识。</w:t>
      </w:r>
      <w:r>
        <w:rPr>
          <w:rFonts w:hint="eastAsia" w:ascii="仿宋" w:hAnsi="仿宋" w:eastAsia="仿宋" w:cs="仿宋"/>
          <w:b w:val="0"/>
          <w:bCs w:val="0"/>
          <w:spacing w:val="-12"/>
          <w:sz w:val="32"/>
          <w:lang w:val="en-US" w:eastAsia="zh-CN"/>
        </w:rPr>
        <w:t>持续深入学习贯彻习近平总书记关于法治建设的重要论述，进一步加强对全局干部职工的法治教育培训，不断提高干部职工的法治意识和法治素养。加强对市场监管领域法律法规的学习研究，及时掌握新政策、新法规，提高运用法律知识解决实际问题的能力。</w:t>
      </w:r>
      <w:r>
        <w:rPr>
          <w:rFonts w:hint="eastAsia" w:ascii="仿宋" w:hAnsi="仿宋" w:eastAsia="仿宋" w:cs="仿宋"/>
          <w:b w:val="0"/>
          <w:bCs w:val="0"/>
          <w:sz w:val="32"/>
          <w:szCs w:val="32"/>
          <w:lang w:val="en-US" w:eastAsia="zh-CN"/>
        </w:rPr>
        <w:t>二是强化队伍建设，提升执法水平。</w:t>
      </w:r>
      <w:r>
        <w:rPr>
          <w:rFonts w:hint="eastAsia" w:ascii="仿宋" w:hAnsi="仿宋" w:eastAsia="仿宋" w:cs="仿宋"/>
          <w:b w:val="0"/>
          <w:bCs w:val="0"/>
          <w:spacing w:val="-12"/>
          <w:sz w:val="32"/>
          <w:lang w:val="en-US" w:eastAsia="zh-CN"/>
        </w:rPr>
        <w:t>加大对执法人员的业务培训力度，通过举办业务培训班、开展岗位练兵、案例研讨等活动，不断提升执法人员的业务能力和执法水平。加强执法人员职业道德教育，增强执法人员的责任感和使命感，做到严格规范公正文明执法。</w:t>
      </w:r>
      <w:r>
        <w:rPr>
          <w:rFonts w:hint="eastAsia" w:ascii="仿宋" w:hAnsi="仿宋" w:eastAsia="仿宋" w:cs="仿宋"/>
          <w:b w:val="0"/>
          <w:bCs w:val="0"/>
          <w:sz w:val="32"/>
          <w:szCs w:val="32"/>
          <w:lang w:val="en-US" w:eastAsia="zh-CN"/>
        </w:rPr>
        <w:t>三是严守四大安全，筑牢监管防线。</w:t>
      </w:r>
      <w:r>
        <w:rPr>
          <w:rFonts w:hint="eastAsia" w:ascii="仿宋" w:hAnsi="仿宋" w:eastAsia="仿宋" w:cs="仿宋"/>
          <w:b w:val="0"/>
          <w:bCs w:val="0"/>
          <w:spacing w:val="-12"/>
          <w:sz w:val="32"/>
          <w:lang w:val="en-US" w:eastAsia="zh-CN"/>
        </w:rPr>
        <w:t>全面覆盖、不留死角地构建"四大安全"监管体系，充分运用先进技术手段与数字化管理模式，持续提升监管效能与精准度，确保监管工作能够做到及时发现问题、精准解决问题，为四大安全提供坚实可靠的保障。</w:t>
      </w:r>
      <w:r>
        <w:rPr>
          <w:rFonts w:hint="eastAsia" w:ascii="仿宋" w:hAnsi="仿宋" w:eastAsia="仿宋" w:cs="仿宋"/>
          <w:b w:val="0"/>
          <w:bCs w:val="0"/>
          <w:sz w:val="32"/>
          <w:szCs w:val="32"/>
          <w:lang w:val="en-US" w:eastAsia="zh-CN"/>
        </w:rPr>
        <w:t>四是创新普法宣传方式，增强普法宣传效果。</w:t>
      </w:r>
      <w:r>
        <w:rPr>
          <w:rFonts w:hint="eastAsia" w:ascii="仿宋" w:hAnsi="仿宋" w:eastAsia="仿宋" w:cs="仿宋"/>
          <w:b w:val="0"/>
          <w:bCs w:val="0"/>
          <w:spacing w:val="-12"/>
          <w:sz w:val="32"/>
          <w:lang w:val="en-US" w:eastAsia="zh-CN"/>
        </w:rPr>
        <w:t>结合市场监管工作实际，进一步创新普法宣传方式，充分利用新媒体、新技术开展形式多样的普法宣传活动，提高普法宣传的针对性和实效性。加强对重点人群、重点领域的普法宣传，增强公众对市场监管领域法律法规的知晓度和认知度，营造良好的法治氛围。</w:t>
      </w:r>
    </w:p>
    <w:p w14:paraId="0AA0E07A">
      <w:pPr>
        <w:keepNext w:val="0"/>
        <w:keepLines w:val="0"/>
        <w:pageBreakBefore w:val="0"/>
        <w:widowControl w:val="0"/>
        <w:kinsoku/>
        <w:wordWrap/>
        <w:overflowPunct/>
        <w:topLinePunct w:val="0"/>
        <w:autoSpaceDE/>
        <w:autoSpaceDN/>
        <w:bidi w:val="0"/>
        <w:adjustRightInd/>
        <w:snapToGrid/>
        <w:spacing w:line="580" w:lineRule="exact"/>
        <w:ind w:firstLine="664" w:firstLineChars="200"/>
        <w:textAlignment w:val="auto"/>
        <w:rPr>
          <w:rFonts w:hint="eastAsia" w:ascii="黑体" w:hAnsi="黑体" w:eastAsia="黑体" w:cs="黑体"/>
          <w:b w:val="0"/>
          <w:bCs/>
          <w:spacing w:val="6"/>
          <w:sz w:val="32"/>
          <w:szCs w:val="32"/>
          <w:lang w:eastAsia="zh-CN"/>
        </w:rPr>
      </w:pPr>
      <w:r>
        <w:rPr>
          <w:rFonts w:hint="eastAsia" w:ascii="黑体" w:hAnsi="黑体" w:eastAsia="黑体" w:cs="黑体"/>
          <w:b w:val="0"/>
          <w:bCs/>
          <w:spacing w:val="6"/>
          <w:sz w:val="32"/>
          <w:szCs w:val="32"/>
          <w:lang w:eastAsia="zh-CN"/>
        </w:rPr>
        <w:t>六、其他需要报告的事项</w:t>
      </w:r>
    </w:p>
    <w:p w14:paraId="03AF058A">
      <w:pPr>
        <w:keepNext w:val="0"/>
        <w:keepLines w:val="0"/>
        <w:pageBreakBefore w:val="0"/>
        <w:wordWrap/>
        <w:overflowPunct/>
        <w:topLinePunct w:val="0"/>
        <w:bidi w:val="0"/>
        <w:spacing w:line="600" w:lineRule="exact"/>
        <w:ind w:firstLine="640" w:firstLineChars="200"/>
        <w:rPr>
          <w:rFonts w:hint="eastAsia" w:ascii="仿宋" w:hAnsi="仿宋" w:eastAsia="仿宋" w:cs="仿宋"/>
          <w:kern w:val="0"/>
          <w:sz w:val="32"/>
          <w:szCs w:val="32"/>
        </w:rPr>
      </w:pPr>
      <w:r>
        <w:rPr>
          <w:rFonts w:hint="eastAsia" w:ascii="仿宋" w:hAnsi="仿宋" w:eastAsia="仿宋" w:cs="仿宋"/>
          <w:b w:val="0"/>
          <w:i w:val="0"/>
          <w:caps w:val="0"/>
          <w:color w:val="333333"/>
          <w:spacing w:val="0"/>
          <w:sz w:val="32"/>
          <w:szCs w:val="32"/>
          <w:shd w:val="clear" w:color="auto" w:fill="FFFFFF"/>
          <w:lang w:val="en-US" w:eastAsia="zh-CN"/>
        </w:rPr>
        <w:t>本年度未收取信息公开处理费。</w:t>
      </w:r>
      <w:r>
        <w:rPr>
          <w:rFonts w:hint="eastAsia" w:ascii="仿宋_GB2312" w:hAnsi="仿宋" w:eastAsia="仿宋_GB2312" w:cs="仿宋"/>
          <w:spacing w:val="13"/>
          <w:w w:val="101"/>
          <w:sz w:val="32"/>
          <w:szCs w:val="32"/>
        </w:rPr>
        <w:t xml:space="preserve">   </w:t>
      </w:r>
      <w:r>
        <w:rPr>
          <w:rFonts w:hint="eastAsia" w:ascii="仿宋" w:hAnsi="仿宋" w:eastAsia="仿宋" w:cs="仿宋"/>
          <w:kern w:val="0"/>
          <w:sz w:val="32"/>
          <w:szCs w:val="32"/>
        </w:rPr>
        <w:t xml:space="preserve"> </w:t>
      </w:r>
    </w:p>
    <w:p w14:paraId="5B54DA2A">
      <w:pPr>
        <w:keepNext w:val="0"/>
        <w:keepLines w:val="0"/>
        <w:pageBreakBefore w:val="0"/>
        <w:wordWrap w:val="0"/>
        <w:overflowPunct/>
        <w:topLinePunct w:val="0"/>
        <w:bidi w:val="0"/>
        <w:spacing w:line="600" w:lineRule="exact"/>
        <w:ind w:firstLine="640" w:firstLineChars="200"/>
        <w:jc w:val="right"/>
        <w:rPr>
          <w:rFonts w:hint="default"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隰县市场监督管理局       </w:t>
      </w:r>
    </w:p>
    <w:p w14:paraId="53A0F7D2">
      <w:pPr>
        <w:keepNext w:val="0"/>
        <w:keepLines w:val="0"/>
        <w:pageBreakBefore w:val="0"/>
        <w:wordWrap w:val="0"/>
        <w:overflowPunct/>
        <w:topLinePunct w:val="0"/>
        <w:bidi w:val="0"/>
        <w:spacing w:line="600" w:lineRule="exact"/>
        <w:ind w:firstLine="640" w:firstLineChars="200"/>
        <w:jc w:val="right"/>
        <w:rPr>
          <w:rFonts w:hint="default" w:ascii="仿宋" w:hAnsi="仿宋" w:eastAsia="仿宋" w:cs="仿宋"/>
          <w:kern w:val="0"/>
          <w:sz w:val="32"/>
          <w:szCs w:val="32"/>
          <w:lang w:val="en-US" w:eastAsia="zh-CN"/>
        </w:rPr>
      </w:pP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年</w:t>
      </w:r>
      <w:r>
        <w:rPr>
          <w:rFonts w:hint="eastAsia" w:ascii="仿宋" w:hAnsi="仿宋" w:eastAsia="仿宋" w:cs="仿宋"/>
          <w:kern w:val="0"/>
          <w:sz w:val="32"/>
          <w:szCs w:val="32"/>
          <w:lang w:val="en-US" w:eastAsia="zh-CN"/>
        </w:rPr>
        <w:t>2</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3</w:t>
      </w:r>
      <w:r>
        <w:rPr>
          <w:rFonts w:hint="eastAsia" w:ascii="仿宋" w:hAnsi="仿宋" w:eastAsia="仿宋" w:cs="仿宋"/>
          <w:kern w:val="0"/>
          <w:sz w:val="32"/>
          <w:szCs w:val="32"/>
        </w:rPr>
        <w:t>日</w:t>
      </w:r>
      <w:r>
        <w:rPr>
          <w:rFonts w:hint="eastAsia" w:ascii="仿宋" w:hAnsi="仿宋" w:eastAsia="仿宋" w:cs="仿宋"/>
          <w:kern w:val="0"/>
          <w:sz w:val="32"/>
          <w:szCs w:val="32"/>
          <w:lang w:val="en-US" w:eastAsia="zh-CN"/>
        </w:rPr>
        <w:t xml:space="preserve">      </w:t>
      </w:r>
    </w:p>
    <w:sectPr>
      <w:headerReference r:id="rId3" w:type="default"/>
      <w:footerReference r:id="rId4" w:type="default"/>
      <w:pgSz w:w="11700" w:h="16680"/>
      <w:pgMar w:top="1701" w:right="1701" w:bottom="1701" w:left="1701" w:header="0" w:footer="1038"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A1"/>
    <w:family w:val="auto"/>
    <w:pitch w:val="default"/>
    <w:sig w:usb0="00000000" w:usb1="00000000" w:usb2="00000009" w:usb3="00000000" w:csb0="400001FF" w:csb1="FFFF0000"/>
  </w:font>
  <w:font w:name="宋体">
    <w:altName w:val="方正书宋_GBK"/>
    <w:panose1 w:val="02010600030101010101"/>
    <w:charset w:val="80"/>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幼圆">
    <w:altName w:val="华文仿宋"/>
    <w:panose1 w:val="0201050906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8DD99">
    <w:pPr>
      <w:spacing w:line="136" w:lineRule="exact"/>
      <w:ind w:firstLine="4880"/>
      <w:rPr>
        <w:rFonts w:ascii="幼圆" w:hAnsi="幼圆" w:eastAsia="幼圆" w:cs="幼圆"/>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AF97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D1AF97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A9B05">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jODEzODUwZWU4NzM1MWE1NzBjNTcxMjllODI1YjIifQ=="/>
  </w:docVars>
  <w:rsids>
    <w:rsidRoot w:val="5CE92545"/>
    <w:rsid w:val="001D76D3"/>
    <w:rsid w:val="003F1BD7"/>
    <w:rsid w:val="003F5DF5"/>
    <w:rsid w:val="00872F73"/>
    <w:rsid w:val="00B41972"/>
    <w:rsid w:val="00BE52FA"/>
    <w:rsid w:val="00C16614"/>
    <w:rsid w:val="00CE2EF2"/>
    <w:rsid w:val="00DD18D0"/>
    <w:rsid w:val="014940A9"/>
    <w:rsid w:val="0742121E"/>
    <w:rsid w:val="076B5857"/>
    <w:rsid w:val="14DE6CA3"/>
    <w:rsid w:val="17EE42D3"/>
    <w:rsid w:val="20F536AE"/>
    <w:rsid w:val="21A460DD"/>
    <w:rsid w:val="26C568DA"/>
    <w:rsid w:val="272B4F83"/>
    <w:rsid w:val="27462C2A"/>
    <w:rsid w:val="2A8319E2"/>
    <w:rsid w:val="335049F8"/>
    <w:rsid w:val="34A004E3"/>
    <w:rsid w:val="398B6A85"/>
    <w:rsid w:val="3DD7639D"/>
    <w:rsid w:val="3F5F3B75"/>
    <w:rsid w:val="4045631A"/>
    <w:rsid w:val="42777BEA"/>
    <w:rsid w:val="470434FA"/>
    <w:rsid w:val="49FC2992"/>
    <w:rsid w:val="4AA236B9"/>
    <w:rsid w:val="52624BDF"/>
    <w:rsid w:val="57604332"/>
    <w:rsid w:val="5CE92545"/>
    <w:rsid w:val="5DC60D53"/>
    <w:rsid w:val="633543B4"/>
    <w:rsid w:val="65EA7CFF"/>
    <w:rsid w:val="672A38A2"/>
    <w:rsid w:val="6AA90866"/>
    <w:rsid w:val="72165710"/>
    <w:rsid w:val="72883B4F"/>
    <w:rsid w:val="73EB2AF2"/>
    <w:rsid w:val="780D455C"/>
    <w:rsid w:val="F7DFBC70"/>
    <w:rsid w:val="FFB392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1"/>
    <w:qFormat/>
    <w:uiPriority w:val="0"/>
    <w:pPr>
      <w:tabs>
        <w:tab w:val="center" w:pos="4153"/>
        <w:tab w:val="right" w:pos="8306"/>
      </w:tabs>
    </w:pPr>
    <w:rPr>
      <w:sz w:val="18"/>
      <w:szCs w:val="18"/>
    </w:rPr>
  </w:style>
  <w:style w:type="paragraph" w:styleId="3">
    <w:name w:val="Body Text"/>
    <w:basedOn w:val="1"/>
    <w:qFormat/>
    <w:uiPriority w:val="0"/>
    <w:rPr>
      <w:rFonts w:ascii="Calibri" w:hAnsi="Calibri" w:eastAsia="宋体" w:cs="Times New Roman"/>
    </w:rPr>
  </w:style>
  <w:style w:type="paragraph" w:styleId="4">
    <w:name w:val="header"/>
    <w:basedOn w:val="1"/>
    <w:link w:val="30"/>
    <w:qFormat/>
    <w:uiPriority w:val="0"/>
    <w:pPr>
      <w:pBdr>
        <w:bottom w:val="single" w:color="auto" w:sz="6" w:space="1"/>
      </w:pBdr>
      <w:tabs>
        <w:tab w:val="center" w:pos="4153"/>
        <w:tab w:val="right" w:pos="8306"/>
      </w:tabs>
      <w:jc w:val="center"/>
    </w:pPr>
    <w:rPr>
      <w:sz w:val="18"/>
      <w:szCs w:val="18"/>
    </w:rPr>
  </w:style>
  <w:style w:type="paragraph" w:styleId="5">
    <w:name w:val="Normal (Web)"/>
    <w:basedOn w:val="1"/>
    <w:qFormat/>
    <w:uiPriority w:val="0"/>
    <w:pPr>
      <w:spacing w:beforeAutospacing="1" w:afterAutospacing="1"/>
    </w:pPr>
    <w:rPr>
      <w:rFonts w:cs="Times New Roman"/>
      <w:sz w:val="24"/>
    </w:rPr>
  </w:style>
  <w:style w:type="paragraph" w:styleId="6">
    <w:name w:val="Title"/>
    <w:basedOn w:val="1"/>
    <w:next w:val="1"/>
    <w:qFormat/>
    <w:uiPriority w:val="10"/>
    <w:pPr>
      <w:spacing w:before="240" w:after="60"/>
      <w:jc w:val="center"/>
      <w:outlineLvl w:val="0"/>
    </w:pPr>
    <w:rPr>
      <w:rFonts w:ascii="Arial" w:hAnsi="Arial" w:cs="Arial"/>
      <w:b/>
      <w:bCs/>
      <w:sz w:val="32"/>
      <w:szCs w:val="32"/>
    </w:rPr>
  </w:style>
  <w:style w:type="character" w:styleId="9">
    <w:name w:val="Strong"/>
    <w:basedOn w:val="8"/>
    <w:qFormat/>
    <w:uiPriority w:val="0"/>
    <w:rPr>
      <w:b/>
    </w:rPr>
  </w:style>
  <w:style w:type="character" w:styleId="10">
    <w:name w:val="FollowedHyperlink"/>
    <w:basedOn w:val="8"/>
    <w:qFormat/>
    <w:uiPriority w:val="0"/>
    <w:rPr>
      <w:color w:val="555555"/>
      <w:u w:val="none"/>
    </w:rPr>
  </w:style>
  <w:style w:type="character" w:styleId="11">
    <w:name w:val="Hyperlink"/>
    <w:basedOn w:val="8"/>
    <w:qFormat/>
    <w:uiPriority w:val="0"/>
    <w:rPr>
      <w:color w:val="555555"/>
      <w:u w:val="none"/>
    </w:rPr>
  </w:style>
  <w:style w:type="paragraph" w:customStyle="1" w:styleId="12">
    <w:name w:val="No Spacing_ad81b47b-6779-4c76-b471-79375858c8cb"/>
    <w:basedOn w:val="1"/>
    <w:next w:val="1"/>
    <w:qFormat/>
    <w:uiPriority w:val="0"/>
    <w:pPr>
      <w:ind w:firstLine="200" w:firstLineChars="200"/>
    </w:pPr>
    <w:rPr>
      <w:rFonts w:ascii="Times New Roman" w:hAnsi="Times New Roman" w:cs="Times New Roman"/>
    </w:rPr>
  </w:style>
  <w:style w:type="table" w:customStyle="1" w:styleId="13">
    <w:name w:val="Table Normal"/>
    <w:semiHidden/>
    <w:unhideWhenUsed/>
    <w:qFormat/>
    <w:uiPriority w:val="0"/>
    <w:tblPr>
      <w:tblCellMar>
        <w:top w:w="0" w:type="dxa"/>
        <w:left w:w="0" w:type="dxa"/>
        <w:bottom w:w="0" w:type="dxa"/>
        <w:right w:w="0" w:type="dxa"/>
      </w:tblCellMar>
    </w:tblPr>
  </w:style>
  <w:style w:type="character" w:customStyle="1" w:styleId="14">
    <w:name w:val="icon6"/>
    <w:basedOn w:val="8"/>
    <w:qFormat/>
    <w:uiPriority w:val="0"/>
  </w:style>
  <w:style w:type="character" w:customStyle="1" w:styleId="15">
    <w:name w:val="icon5"/>
    <w:basedOn w:val="8"/>
    <w:qFormat/>
    <w:uiPriority w:val="0"/>
  </w:style>
  <w:style w:type="character" w:customStyle="1" w:styleId="16">
    <w:name w:val="icon4"/>
    <w:basedOn w:val="8"/>
    <w:qFormat/>
    <w:uiPriority w:val="0"/>
  </w:style>
  <w:style w:type="character" w:customStyle="1" w:styleId="17">
    <w:name w:val="icon1"/>
    <w:basedOn w:val="8"/>
    <w:qFormat/>
    <w:uiPriority w:val="0"/>
  </w:style>
  <w:style w:type="character" w:customStyle="1" w:styleId="18">
    <w:name w:val="icon3"/>
    <w:basedOn w:val="8"/>
    <w:qFormat/>
    <w:uiPriority w:val="0"/>
  </w:style>
  <w:style w:type="character" w:customStyle="1" w:styleId="19">
    <w:name w:val="icon2"/>
    <w:basedOn w:val="8"/>
    <w:qFormat/>
    <w:uiPriority w:val="0"/>
  </w:style>
  <w:style w:type="character" w:customStyle="1" w:styleId="20">
    <w:name w:val="icon7"/>
    <w:basedOn w:val="8"/>
    <w:qFormat/>
    <w:uiPriority w:val="0"/>
  </w:style>
  <w:style w:type="character" w:customStyle="1" w:styleId="21">
    <w:name w:val="icon8"/>
    <w:basedOn w:val="8"/>
    <w:qFormat/>
    <w:uiPriority w:val="0"/>
  </w:style>
  <w:style w:type="character" w:customStyle="1" w:styleId="22">
    <w:name w:val="hover9"/>
    <w:basedOn w:val="8"/>
    <w:qFormat/>
    <w:uiPriority w:val="0"/>
    <w:rPr>
      <w:color w:val="076FF4"/>
      <w:bdr w:val="single" w:color="076FF4" w:sz="6" w:space="0"/>
    </w:rPr>
  </w:style>
  <w:style w:type="character" w:customStyle="1" w:styleId="23">
    <w:name w:val="on2"/>
    <w:basedOn w:val="8"/>
    <w:qFormat/>
    <w:uiPriority w:val="0"/>
    <w:rPr>
      <w:color w:val="076FF4"/>
      <w:bdr w:val="single" w:color="076FF4" w:sz="6" w:space="0"/>
    </w:rPr>
  </w:style>
  <w:style w:type="character" w:customStyle="1" w:styleId="24">
    <w:name w:val="prevstop1"/>
    <w:basedOn w:val="8"/>
    <w:qFormat/>
    <w:uiPriority w:val="0"/>
    <w:rPr>
      <w:color w:val="ACACAC"/>
      <w:shd w:val="clear" w:color="auto" w:fill="F2F2F2"/>
    </w:rPr>
  </w:style>
  <w:style w:type="character" w:customStyle="1" w:styleId="25">
    <w:name w:val="nextstop1"/>
    <w:basedOn w:val="8"/>
    <w:qFormat/>
    <w:uiPriority w:val="0"/>
    <w:rPr>
      <w:color w:val="ACACAC"/>
      <w:shd w:val="clear" w:color="auto" w:fill="F2F2F2"/>
    </w:rPr>
  </w:style>
  <w:style w:type="character" w:customStyle="1" w:styleId="26">
    <w:name w:val="share"/>
    <w:basedOn w:val="8"/>
    <w:qFormat/>
    <w:uiPriority w:val="0"/>
  </w:style>
  <w:style w:type="character" w:customStyle="1" w:styleId="27">
    <w:name w:val="prevstop"/>
    <w:basedOn w:val="8"/>
    <w:qFormat/>
    <w:uiPriority w:val="0"/>
    <w:rPr>
      <w:color w:val="ACACAC"/>
      <w:shd w:val="clear" w:color="auto" w:fill="F2F2F2"/>
    </w:rPr>
  </w:style>
  <w:style w:type="character" w:customStyle="1" w:styleId="28">
    <w:name w:val="hover"/>
    <w:basedOn w:val="8"/>
    <w:qFormat/>
    <w:uiPriority w:val="0"/>
    <w:rPr>
      <w:color w:val="076FF4"/>
      <w:bdr w:val="single" w:color="076FF4" w:sz="6" w:space="0"/>
    </w:rPr>
  </w:style>
  <w:style w:type="character" w:customStyle="1" w:styleId="29">
    <w:name w:val="on1"/>
    <w:basedOn w:val="8"/>
    <w:qFormat/>
    <w:uiPriority w:val="0"/>
    <w:rPr>
      <w:color w:val="076FF4"/>
      <w:bdr w:val="single" w:color="076FF4" w:sz="6" w:space="0"/>
    </w:rPr>
  </w:style>
  <w:style w:type="character" w:customStyle="1" w:styleId="30">
    <w:name w:val="页眉 Char"/>
    <w:basedOn w:val="8"/>
    <w:link w:val="4"/>
    <w:qFormat/>
    <w:uiPriority w:val="0"/>
    <w:rPr>
      <w:rFonts w:ascii="Arial" w:hAnsi="Arial" w:eastAsia="Arial" w:cs="Arial"/>
      <w:snapToGrid w:val="0"/>
      <w:color w:val="000000"/>
      <w:sz w:val="18"/>
      <w:szCs w:val="18"/>
    </w:rPr>
  </w:style>
  <w:style w:type="character" w:customStyle="1" w:styleId="31">
    <w:name w:val="页脚 Char"/>
    <w:basedOn w:val="8"/>
    <w:link w:val="2"/>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1034</Words>
  <Characters>1073</Characters>
  <Lines>17</Lines>
  <Paragraphs>4</Paragraphs>
  <TotalTime>8</TotalTime>
  <ScaleCrop>false</ScaleCrop>
  <LinksUpToDate>false</LinksUpToDate>
  <CharactersWithSpaces>1073</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2022-01-25T16:17:00Z</dcterms:created>
  <dc:creator>小鹏友</dc:creator>
  <cp:lastModifiedBy>kylin</cp:lastModifiedBy>
  <cp:lastPrinted>2026-02-12T08:39:00Z</cp:lastPrinted>
  <dcterms:modified xsi:type="dcterms:W3CDTF">2026-02-19T12:36:48Z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B971332501E77F7D514781696987D0E0_43</vt:lpwstr>
  </property>
  <property fmtid="{D5CDD505-2E9C-101B-9397-08002B2CF9AE}" pid="4" name="KSOTemplateDocerSaveRecord">
    <vt:lpwstr>eyJoZGlkIjoiZDMxY2EzOTlkZTRlNThiMDJkNTk4Mzc0YmNkNmMyMjYiLCJ1c2VySWQiOiI4NTA2MjU0NjgifQ==</vt:lpwstr>
  </property>
</Properties>
</file>