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713750"/>
    <w:p w14:paraId="13D5BE24">
      <w:pPr>
        <w:keepNext w:val="0"/>
        <w:keepLines w:val="0"/>
        <w:pageBreakBefore w:val="0"/>
        <w:widowControl w:val="0"/>
        <w:kinsoku/>
        <w:wordWrap/>
        <w:overflowPunct/>
        <w:topLinePunct w:val="0"/>
        <w:autoSpaceDE/>
        <w:autoSpaceDN/>
        <w:bidi w:val="0"/>
        <w:spacing w:line="640" w:lineRule="exact"/>
        <w:jc w:val="center"/>
        <w:rPr>
          <w:rFonts w:hint="eastAsia" w:ascii="华文中宋" w:hAnsi="华文中宋" w:eastAsia="华文中宋" w:cs="华文中宋"/>
          <w:bCs/>
          <w:sz w:val="44"/>
          <w:szCs w:val="44"/>
          <w:lang w:eastAsia="zh-CN"/>
        </w:rPr>
      </w:pPr>
      <w:r>
        <w:rPr>
          <w:rFonts w:hint="eastAsia" w:ascii="华文中宋" w:hAnsi="华文中宋" w:eastAsia="华文中宋" w:cs="华文中宋"/>
          <w:bCs/>
          <w:sz w:val="44"/>
          <w:szCs w:val="44"/>
          <w:lang w:val="en-US" w:eastAsia="zh-CN"/>
        </w:rPr>
        <w:t>隰县审计局</w:t>
      </w:r>
    </w:p>
    <w:p w14:paraId="7A51550F">
      <w:pPr>
        <w:keepNext w:val="0"/>
        <w:keepLines w:val="0"/>
        <w:pageBreakBefore w:val="0"/>
        <w:widowControl w:val="0"/>
        <w:kinsoku/>
        <w:wordWrap/>
        <w:overflowPunct/>
        <w:topLinePunct w:val="0"/>
        <w:autoSpaceDE/>
        <w:autoSpaceDN/>
        <w:bidi w:val="0"/>
        <w:spacing w:line="640" w:lineRule="exact"/>
        <w:jc w:val="center"/>
        <w:rPr>
          <w:rFonts w:hint="eastAsia" w:ascii="华文中宋" w:hAnsi="华文中宋" w:eastAsia="华文中宋" w:cs="华文中宋"/>
          <w:bCs/>
          <w:sz w:val="44"/>
          <w:szCs w:val="44"/>
        </w:rPr>
      </w:pPr>
      <w:r>
        <w:rPr>
          <w:rFonts w:hint="eastAsia" w:ascii="华文中宋" w:hAnsi="华文中宋" w:eastAsia="华文中宋" w:cs="华文中宋"/>
          <w:bCs/>
          <w:snapToGrid/>
          <w:kern w:val="2"/>
          <w:sz w:val="44"/>
          <w:szCs w:val="44"/>
        </w:rPr>
        <w:t>202</w:t>
      </w:r>
      <w:r>
        <w:rPr>
          <w:rFonts w:hint="eastAsia" w:ascii="华文中宋" w:hAnsi="华文中宋" w:eastAsia="华文中宋" w:cs="华文中宋"/>
          <w:bCs/>
          <w:snapToGrid/>
          <w:kern w:val="2"/>
          <w:sz w:val="44"/>
          <w:szCs w:val="44"/>
          <w:lang w:val="en-US" w:eastAsia="zh-CN"/>
        </w:rPr>
        <w:t>5</w:t>
      </w:r>
      <w:r>
        <w:rPr>
          <w:rFonts w:hint="eastAsia" w:ascii="华文中宋" w:hAnsi="华文中宋" w:eastAsia="华文中宋" w:cs="华文中宋"/>
          <w:bCs/>
          <w:snapToGrid/>
          <w:kern w:val="2"/>
          <w:sz w:val="44"/>
          <w:szCs w:val="44"/>
        </w:rPr>
        <w:t>年政府信息公开工作年报</w:t>
      </w:r>
    </w:p>
    <w:p w14:paraId="209BC1AD">
      <w:pPr>
        <w:keepNext w:val="0"/>
        <w:keepLines w:val="0"/>
        <w:pageBreakBefore w:val="0"/>
        <w:widowControl w:val="0"/>
        <w:kinsoku/>
        <w:wordWrap/>
        <w:overflowPunct/>
        <w:topLinePunct w:val="0"/>
        <w:autoSpaceDE/>
        <w:autoSpaceDN/>
        <w:bidi w:val="0"/>
        <w:spacing w:line="640" w:lineRule="exact"/>
        <w:ind w:firstLine="632" w:firstLineChars="200"/>
        <w:jc w:val="both"/>
        <w:outlineLvl w:val="1"/>
        <w:rPr>
          <w:rFonts w:ascii="黑体" w:hAnsi="黑体" w:eastAsia="黑体" w:cs="黑体"/>
          <w:spacing w:val="-2"/>
          <w:sz w:val="32"/>
          <w:szCs w:val="32"/>
          <w14:textOutline w14:w="4356" w14:cap="flat" w14:cmpd="sng" w14:algn="ctr">
            <w14:solidFill>
              <w14:srgbClr w14:val="000000"/>
            </w14:solidFill>
            <w14:prstDash w14:val="solid"/>
            <w14:miter w14:val="0"/>
          </w14:textOutline>
        </w:rPr>
      </w:pPr>
    </w:p>
    <w:p w14:paraId="110842AA">
      <w:pPr>
        <w:spacing w:line="62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根据《中华人民共和国政府信息公开条例》（国务院令711号）（以下简称条例）规定和《中华人民共和国政府信息公开工作年度报告格式》（国办公开办函〔2021〕30号）要求，现将</w:t>
      </w:r>
      <w:r>
        <w:rPr>
          <w:rFonts w:hint="eastAsia" w:ascii="仿宋" w:hAnsi="仿宋" w:eastAsia="仿宋" w:cs="仿宋"/>
          <w:kern w:val="0"/>
          <w:sz w:val="32"/>
          <w:szCs w:val="32"/>
          <w:lang w:eastAsia="zh-CN"/>
        </w:rPr>
        <w:t>审计局</w:t>
      </w:r>
      <w:bookmarkStart w:id="0" w:name="_GoBack"/>
      <w:bookmarkEnd w:id="0"/>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年政府信息公开年度报告向社会公布。本报告由总体情况、主动公开政府信息情况、收到和处理政府信息公开申请情况等六个部分组成。本报告中所列数据的统计期限自202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年1月1日至202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年12月31日止。</w:t>
      </w:r>
    </w:p>
    <w:p w14:paraId="068FFF4A">
      <w:pPr>
        <w:spacing w:line="620" w:lineRule="exact"/>
        <w:ind w:firstLine="643" w:firstLineChars="200"/>
        <w:rPr>
          <w:rFonts w:hint="eastAsia" w:ascii="黑体" w:hAnsi="黑体" w:eastAsia="黑体" w:cs="黑体"/>
          <w:b/>
          <w:sz w:val="32"/>
          <w:szCs w:val="32"/>
          <w:lang w:eastAsia="zh-CN"/>
        </w:rPr>
      </w:pPr>
      <w:r>
        <w:rPr>
          <w:rFonts w:hint="eastAsia" w:ascii="黑体" w:hAnsi="黑体" w:eastAsia="黑体" w:cs="黑体"/>
          <w:b/>
          <w:sz w:val="32"/>
          <w:szCs w:val="32"/>
          <w:lang w:eastAsia="zh-CN"/>
        </w:rPr>
        <w:t>一、总体情况</w:t>
      </w:r>
    </w:p>
    <w:p w14:paraId="33EB5EC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根据《政府信息公开条例》的要求，我局开展政府信息公开工作。为此，专门配备了1名兼职工作人员，截至20</w:t>
      </w:r>
      <w:r>
        <w:rPr>
          <w:rFonts w:hint="eastAsia" w:ascii="仿宋" w:hAnsi="仿宋" w:eastAsia="仿宋" w:cs="仿宋"/>
          <w:sz w:val="32"/>
          <w:szCs w:val="32"/>
          <w:lang w:val="en-US" w:eastAsia="zh-CN"/>
        </w:rPr>
        <w:t>25</w:t>
      </w:r>
      <w:r>
        <w:rPr>
          <w:rFonts w:hint="eastAsia" w:ascii="仿宋" w:hAnsi="仿宋" w:eastAsia="仿宋" w:cs="仿宋"/>
          <w:sz w:val="32"/>
          <w:szCs w:val="32"/>
        </w:rPr>
        <w:t xml:space="preserve">年12月底，我局政府信息公开工作运行正常，开展顺利。 </w:t>
      </w:r>
    </w:p>
    <w:p w14:paraId="0D457330">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sz w:val="32"/>
          <w:szCs w:val="32"/>
        </w:rPr>
      </w:pPr>
      <w:r>
        <w:rPr>
          <w:rFonts w:hint="eastAsia" w:ascii="楷体" w:hAnsi="楷体" w:eastAsia="楷体" w:cs="楷体"/>
          <w:b/>
          <w:bCs/>
          <w:sz w:val="32"/>
          <w:szCs w:val="32"/>
        </w:rPr>
        <w:t>（一）加强组织领导，健全工作机制</w:t>
      </w:r>
      <w:r>
        <w:rPr>
          <w:rFonts w:hint="eastAsia" w:ascii="仿宋" w:hAnsi="仿宋" w:eastAsia="仿宋" w:cs="仿宋"/>
          <w:sz w:val="32"/>
          <w:szCs w:val="32"/>
        </w:rPr>
        <w:t xml:space="preserve"> </w:t>
      </w:r>
    </w:p>
    <w:p w14:paraId="5B351E1D">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年我局政府信息公开工作继续坚持由局长负总责，分管副局长具体抓落实，局政府信息公开工作机构由各股室负责人组成，办公室牵头并明确专人负责政府信息公开的日常工作。</w:t>
      </w:r>
    </w:p>
    <w:p w14:paraId="294CCD1E">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楷体" w:hAnsi="楷体" w:eastAsia="楷体" w:cs="楷体"/>
          <w:b/>
          <w:bCs/>
          <w:sz w:val="32"/>
          <w:szCs w:val="32"/>
        </w:rPr>
      </w:pPr>
      <w:r>
        <w:rPr>
          <w:rFonts w:hint="eastAsia" w:ascii="楷体" w:hAnsi="楷体" w:eastAsia="楷体" w:cs="楷体"/>
          <w:b/>
          <w:bCs/>
          <w:sz w:val="32"/>
          <w:szCs w:val="32"/>
        </w:rPr>
        <w:t xml:space="preserve">(二)落实政府信息公开工作要求，做好政府信息公开日常工作 </w:t>
      </w:r>
    </w:p>
    <w:p w14:paraId="61AD7FB4">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25</w:t>
      </w:r>
      <w:r>
        <w:rPr>
          <w:rFonts w:hint="eastAsia" w:ascii="仿宋" w:hAnsi="仿宋" w:eastAsia="仿宋" w:cs="仿宋"/>
          <w:sz w:val="32"/>
          <w:szCs w:val="32"/>
        </w:rPr>
        <w:t xml:space="preserve">年我局继续认真做好政府信息公开日常工作，把政府信息的梳理、政府信息公开目录的编制、政府信息公开渠道及公开形式等工作的进度、要求和责任部门纳入实施方案中予以明确，保证了我局政府信息公开各项工作的落实，政府信息公开工作依法、有序的开展。 </w:t>
      </w:r>
    </w:p>
    <w:p w14:paraId="0572732D">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sz w:val="32"/>
          <w:szCs w:val="32"/>
        </w:rPr>
      </w:pPr>
      <w:r>
        <w:rPr>
          <w:rFonts w:hint="eastAsia" w:ascii="仿宋" w:hAnsi="仿宋" w:eastAsia="仿宋" w:cs="仿宋"/>
          <w:b/>
          <w:bCs/>
          <w:sz w:val="32"/>
          <w:szCs w:val="32"/>
        </w:rPr>
        <w:t>一是</w:t>
      </w:r>
      <w:r>
        <w:rPr>
          <w:rFonts w:hint="eastAsia" w:ascii="仿宋" w:hAnsi="仿宋" w:eastAsia="仿宋" w:cs="仿宋"/>
          <w:sz w:val="32"/>
          <w:szCs w:val="32"/>
        </w:rPr>
        <w:t>及时编制政府信息公开目录，积极做好主动公开政府信息的维护、更新和报送工作。可以通过到隰县审计局办公室查阅等途径获得。主动向社会免费公开的信息在形成或变更之日起20个工作日内予以公开。　</w:t>
      </w:r>
    </w:p>
    <w:p w14:paraId="53CEC8A1">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sz w:val="32"/>
          <w:szCs w:val="32"/>
        </w:rPr>
      </w:pPr>
      <w:r>
        <w:rPr>
          <w:rFonts w:hint="eastAsia" w:ascii="仿宋" w:hAnsi="仿宋" w:eastAsia="仿宋" w:cs="仿宋"/>
          <w:b/>
          <w:bCs/>
          <w:sz w:val="32"/>
          <w:szCs w:val="32"/>
        </w:rPr>
        <w:t>二是</w:t>
      </w:r>
      <w:r>
        <w:rPr>
          <w:rFonts w:hint="eastAsia" w:ascii="仿宋" w:hAnsi="仿宋" w:eastAsia="仿宋" w:cs="仿宋"/>
          <w:sz w:val="32"/>
          <w:szCs w:val="32"/>
        </w:rPr>
        <w:t>按时向县信息公开办公室、县政府信息公开大厅、县档案馆、县图书馆移交纸质的主动公开政府信息，并及时印制、更新、补充政府信息公开资料索取、展示栏中的相关文件及资料。</w:t>
      </w:r>
    </w:p>
    <w:p w14:paraId="6A4C3B59">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sz w:val="32"/>
          <w:szCs w:val="32"/>
        </w:rPr>
      </w:pPr>
      <w:r>
        <w:rPr>
          <w:rFonts w:hint="eastAsia" w:ascii="仿宋" w:hAnsi="仿宋" w:eastAsia="仿宋" w:cs="仿宋"/>
          <w:b/>
          <w:bCs/>
          <w:sz w:val="32"/>
          <w:szCs w:val="32"/>
        </w:rPr>
        <w:t>三是</w:t>
      </w:r>
      <w:r>
        <w:rPr>
          <w:rFonts w:hint="eastAsia" w:ascii="仿宋" w:hAnsi="仿宋" w:eastAsia="仿宋" w:cs="仿宋"/>
          <w:sz w:val="32"/>
          <w:szCs w:val="32"/>
        </w:rPr>
        <w:t xml:space="preserve">认真做，积极协调处理，结果较满意；同时总结经验，进一步规范了我局政府信息依申请公开工作。 </w:t>
      </w:r>
    </w:p>
    <w:p w14:paraId="630317F8">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sz w:val="32"/>
          <w:szCs w:val="32"/>
        </w:rPr>
      </w:pPr>
      <w:r>
        <w:rPr>
          <w:rFonts w:hint="eastAsia" w:ascii="仿宋" w:hAnsi="仿宋" w:eastAsia="仿宋" w:cs="仿宋"/>
          <w:b/>
          <w:bCs/>
          <w:sz w:val="32"/>
          <w:szCs w:val="32"/>
        </w:rPr>
        <w:t>四是</w:t>
      </w:r>
      <w:r>
        <w:rPr>
          <w:rFonts w:hint="eastAsia" w:ascii="仿宋" w:hAnsi="仿宋" w:eastAsia="仿宋" w:cs="仿宋"/>
          <w:sz w:val="32"/>
          <w:szCs w:val="32"/>
        </w:rPr>
        <w:t xml:space="preserve">按照县政府信息公开的有关规定，及时报送政府信息公开月度统计数据，按规范编制并及时报送信息公开年度报告。 </w:t>
      </w:r>
    </w:p>
    <w:p w14:paraId="1A5FED4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p>
    <w:p w14:paraId="7A6C3052">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p>
    <w:p w14:paraId="7B2F5700">
      <w:pPr>
        <w:keepNext w:val="0"/>
        <w:keepLines w:val="0"/>
        <w:pageBreakBefore w:val="0"/>
        <w:widowControl/>
        <w:kinsoku w:val="0"/>
        <w:wordWrap/>
        <w:overflowPunct/>
        <w:topLinePunct w:val="0"/>
        <w:autoSpaceDE w:val="0"/>
        <w:autoSpaceDN w:val="0"/>
        <w:bidi w:val="0"/>
        <w:adjustRightInd w:val="0"/>
        <w:snapToGrid w:val="0"/>
        <w:spacing w:line="600" w:lineRule="exact"/>
        <w:ind w:firstLine="640" w:firstLineChars="200"/>
        <w:textAlignment w:val="baseline"/>
        <w:rPr>
          <w:rFonts w:hint="eastAsia" w:ascii="仿宋" w:hAnsi="仿宋" w:eastAsia="仿宋" w:cs="仿宋"/>
          <w:sz w:val="32"/>
          <w:szCs w:val="32"/>
        </w:rPr>
      </w:pPr>
    </w:p>
    <w:p w14:paraId="406DD371">
      <w:pPr>
        <w:pStyle w:val="6"/>
        <w:rPr>
          <w:rFonts w:hint="eastAsia" w:eastAsia="宋体"/>
          <w:lang w:val="en-US" w:eastAsia="zh-CN"/>
        </w:rPr>
      </w:pPr>
    </w:p>
    <w:p w14:paraId="63FBCF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24"/>
          <w:szCs w:val="24"/>
          <w:shd w:val="clear" w:color="auto" w:fill="FFFFFF"/>
        </w:rPr>
      </w:pPr>
      <w:r>
        <w:rPr>
          <w:rFonts w:hint="eastAsia" w:ascii="黑体" w:hAnsi="黑体" w:eastAsia="黑体" w:cs="黑体"/>
          <w:b w:val="0"/>
          <w:bCs/>
          <w:i w:val="0"/>
          <w:caps w:val="0"/>
          <w:color w:val="000000"/>
          <w:spacing w:val="0"/>
          <w:sz w:val="32"/>
          <w:szCs w:val="32"/>
          <w:shd w:val="clear" w:color="auto" w:fill="FFFFFF"/>
        </w:rPr>
        <w:t>二、主动公开政府信息情况</w:t>
      </w:r>
    </w:p>
    <w:tbl>
      <w:tblPr>
        <w:tblStyle w:val="7"/>
        <w:tblW w:w="9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335"/>
        <w:gridCol w:w="2335"/>
        <w:gridCol w:w="2335"/>
        <w:gridCol w:w="2335"/>
      </w:tblGrid>
      <w:tr w14:paraId="1DBE5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3FD6D1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第二十条第（一）项</w:t>
            </w:r>
          </w:p>
        </w:tc>
      </w:tr>
      <w:tr w14:paraId="74A0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07A646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2E2F60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本年制发件数</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1547EC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本年废止件数</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330578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现行有效件数</w:t>
            </w:r>
          </w:p>
        </w:tc>
      </w:tr>
      <w:tr w14:paraId="5C6DB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6B3F5A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规章</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08CB96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3FFD6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3531D8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34200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0BBABD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行政规范性文件</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3BD24D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619883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152985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13250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060B98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第二十条第（五）项</w:t>
            </w:r>
          </w:p>
        </w:tc>
      </w:tr>
      <w:tr w14:paraId="1967B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4051CD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52AC96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1EF2F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0C025D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行政许可</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69009B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47695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698D49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第二十条第（六）项</w:t>
            </w:r>
          </w:p>
        </w:tc>
      </w:tr>
      <w:tr w14:paraId="1AF00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7A4C5A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14:paraId="650E8C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71453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072DA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行政处罚</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1E1C81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3503B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3ADAFB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行政强制</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6C5BEF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4F4F6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328362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第二十条第（八）项</w:t>
            </w:r>
          </w:p>
        </w:tc>
      </w:tr>
      <w:tr w14:paraId="4151C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12B4B8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nil"/>
              <w:left w:val="nil"/>
              <w:bottom w:val="single" w:color="auto" w:sz="8" w:space="0"/>
              <w:right w:val="single" w:color="000000" w:sz="8" w:space="0"/>
            </w:tcBorders>
            <w:noWrap w:val="0"/>
            <w:tcMar>
              <w:left w:w="57" w:type="dxa"/>
              <w:right w:w="57" w:type="dxa"/>
            </w:tcMar>
            <w:vAlign w:val="center"/>
          </w:tcPr>
          <w:p w14:paraId="38DCAD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本年收费金额（单位：万元）</w:t>
            </w:r>
          </w:p>
        </w:tc>
      </w:tr>
      <w:tr w14:paraId="3A3AC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C9B6E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行政事业性收费</w:t>
            </w:r>
          </w:p>
        </w:tc>
        <w:tc>
          <w:tcPr>
            <w:tcW w:w="7005" w:type="dxa"/>
            <w:gridSpan w:val="3"/>
            <w:tcBorders>
              <w:top w:val="nil"/>
              <w:left w:val="nil"/>
              <w:bottom w:val="single" w:color="auto" w:sz="8" w:space="0"/>
              <w:right w:val="single" w:color="000000" w:sz="8" w:space="0"/>
            </w:tcBorders>
            <w:noWrap w:val="0"/>
            <w:tcMar>
              <w:left w:w="57" w:type="dxa"/>
              <w:right w:w="57" w:type="dxa"/>
            </w:tcMar>
            <w:vAlign w:val="center"/>
          </w:tcPr>
          <w:p w14:paraId="038E142B">
            <w:pPr>
              <w:jc w:val="center"/>
              <w:rPr>
                <w:rFonts w:hint="default" w:ascii="宋体" w:eastAsia="宋体"/>
                <w:color w:val="000000"/>
                <w:sz w:val="24"/>
                <w:szCs w:val="24"/>
                <w:lang w:val="en-US" w:eastAsia="zh-CN"/>
              </w:rPr>
            </w:pPr>
            <w:r>
              <w:rPr>
                <w:rFonts w:hint="eastAsia" w:ascii="宋体" w:eastAsia="宋体"/>
                <w:color w:val="000000"/>
                <w:sz w:val="24"/>
                <w:szCs w:val="24"/>
                <w:lang w:val="en-US" w:eastAsia="zh-CN"/>
              </w:rPr>
              <w:t>0</w:t>
            </w:r>
          </w:p>
        </w:tc>
      </w:tr>
    </w:tbl>
    <w:p w14:paraId="72B376F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黑体" w:hAnsi="黑体" w:eastAsia="黑体" w:cs="黑体"/>
          <w:b w:val="0"/>
          <w:bCs/>
          <w:i w:val="0"/>
          <w:caps w:val="0"/>
          <w:color w:val="000000"/>
          <w:spacing w:val="0"/>
          <w:sz w:val="32"/>
          <w:szCs w:val="32"/>
          <w:shd w:val="clear" w:color="auto" w:fill="FFFFFF"/>
        </w:rPr>
      </w:pPr>
    </w:p>
    <w:p w14:paraId="62EDF4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黑体" w:hAnsi="黑体" w:eastAsia="黑体" w:cs="黑体"/>
          <w:b w:val="0"/>
          <w:bCs/>
          <w:i w:val="0"/>
          <w:caps w:val="0"/>
          <w:color w:val="000000"/>
          <w:spacing w:val="0"/>
          <w:sz w:val="32"/>
          <w:szCs w:val="32"/>
          <w:shd w:val="clear" w:color="auto" w:fill="FFFFFF"/>
        </w:rPr>
      </w:pPr>
    </w:p>
    <w:p w14:paraId="7367E5B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黑体" w:hAnsi="黑体" w:eastAsia="黑体" w:cs="黑体"/>
          <w:b w:val="0"/>
          <w:bCs/>
          <w:i w:val="0"/>
          <w:caps w:val="0"/>
          <w:color w:val="000000"/>
          <w:spacing w:val="0"/>
          <w:sz w:val="32"/>
          <w:szCs w:val="32"/>
          <w:shd w:val="clear" w:color="auto" w:fill="FFFFFF"/>
        </w:rPr>
      </w:pPr>
    </w:p>
    <w:p w14:paraId="514694F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黑体" w:hAnsi="黑体" w:eastAsia="黑体" w:cs="黑体"/>
          <w:b w:val="0"/>
          <w:bCs/>
          <w:i w:val="0"/>
          <w:caps w:val="0"/>
          <w:color w:val="000000"/>
          <w:spacing w:val="0"/>
          <w:sz w:val="32"/>
          <w:szCs w:val="32"/>
          <w:shd w:val="clear" w:color="auto" w:fill="FFFFFF"/>
        </w:rPr>
      </w:pPr>
    </w:p>
    <w:p w14:paraId="12091D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right="0"/>
        <w:jc w:val="both"/>
        <w:textAlignment w:val="auto"/>
        <w:rPr>
          <w:rFonts w:hint="eastAsia" w:ascii="黑体" w:hAnsi="黑体" w:eastAsia="黑体" w:cs="黑体"/>
          <w:b w:val="0"/>
          <w:bCs/>
          <w:i w:val="0"/>
          <w:caps w:val="0"/>
          <w:color w:val="000000"/>
          <w:spacing w:val="0"/>
          <w:sz w:val="32"/>
          <w:szCs w:val="32"/>
          <w:shd w:val="clear" w:color="auto" w:fill="FFFFFF"/>
        </w:rPr>
      </w:pPr>
    </w:p>
    <w:p w14:paraId="41EE1D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7A23F05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r>
        <w:rPr>
          <w:rFonts w:hint="eastAsia" w:ascii="黑体" w:hAnsi="黑体" w:eastAsia="黑体" w:cs="黑体"/>
          <w:b w:val="0"/>
          <w:bCs/>
          <w:i w:val="0"/>
          <w:caps w:val="0"/>
          <w:color w:val="000000"/>
          <w:spacing w:val="0"/>
          <w:sz w:val="32"/>
          <w:szCs w:val="32"/>
          <w:shd w:val="clear" w:color="auto" w:fill="FFFFFF"/>
        </w:rPr>
        <w:t>三、收到和处理政府信息公开申请情况</w:t>
      </w:r>
    </w:p>
    <w:tbl>
      <w:tblPr>
        <w:tblStyle w:val="7"/>
        <w:tblW w:w="9546"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75"/>
        <w:gridCol w:w="953"/>
        <w:gridCol w:w="3259"/>
        <w:gridCol w:w="695"/>
        <w:gridCol w:w="695"/>
        <w:gridCol w:w="695"/>
        <w:gridCol w:w="695"/>
        <w:gridCol w:w="695"/>
        <w:gridCol w:w="584"/>
        <w:gridCol w:w="500"/>
      </w:tblGrid>
      <w:tr w14:paraId="2650FF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4AAF69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ascii="楷体" w:hAnsi="楷体" w:eastAsia="楷体" w:cs="楷体"/>
                <w:color w:val="000000"/>
                <w:kern w:val="0"/>
                <w:sz w:val="20"/>
                <w:szCs w:val="20"/>
                <w:lang w:val="en-US" w:eastAsia="zh-CN" w:bidi="ar"/>
              </w:rPr>
              <w:t>（本列数据的勾稽关系为：第一项加第二项之和，等于第三项加第四项之和）</w:t>
            </w:r>
          </w:p>
        </w:tc>
        <w:tc>
          <w:tcPr>
            <w:tcW w:w="4559"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14:paraId="0092BB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申请人情况</w:t>
            </w:r>
          </w:p>
        </w:tc>
      </w:tr>
      <w:tr w14:paraId="4320701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2FB16570">
            <w:pPr>
              <w:rPr>
                <w:rFonts w:hint="eastAsia" w:ascii="宋体"/>
                <w:color w:val="000000"/>
                <w:sz w:val="24"/>
                <w:szCs w:val="24"/>
              </w:rPr>
            </w:pPr>
          </w:p>
        </w:tc>
        <w:tc>
          <w:tcPr>
            <w:tcW w:w="695" w:type="dxa"/>
            <w:vMerge w:val="restart"/>
            <w:tcBorders>
              <w:top w:val="nil"/>
              <w:left w:val="nil"/>
              <w:bottom w:val="single" w:color="auto" w:sz="8" w:space="0"/>
              <w:right w:val="single" w:color="auto" w:sz="8" w:space="0"/>
            </w:tcBorders>
            <w:noWrap w:val="0"/>
            <w:tcMar>
              <w:left w:w="57" w:type="dxa"/>
              <w:right w:w="57" w:type="dxa"/>
            </w:tcMar>
            <w:vAlign w:val="center"/>
          </w:tcPr>
          <w:p w14:paraId="5530B5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自然人</w:t>
            </w:r>
          </w:p>
        </w:tc>
        <w:tc>
          <w:tcPr>
            <w:tcW w:w="3364"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14:paraId="46E123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法人或其他组织</w:t>
            </w:r>
          </w:p>
        </w:tc>
        <w:tc>
          <w:tcPr>
            <w:tcW w:w="500"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14:paraId="735FD1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总计</w:t>
            </w:r>
          </w:p>
        </w:tc>
      </w:tr>
      <w:tr w14:paraId="7E40EE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4987"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089DCE59">
            <w:pPr>
              <w:rPr>
                <w:rFonts w:hint="eastAsia" w:ascii="宋体"/>
                <w:color w:val="000000"/>
                <w:sz w:val="24"/>
                <w:szCs w:val="24"/>
              </w:rPr>
            </w:pPr>
          </w:p>
        </w:tc>
        <w:tc>
          <w:tcPr>
            <w:tcW w:w="695" w:type="dxa"/>
            <w:vMerge w:val="continue"/>
            <w:tcBorders>
              <w:top w:val="nil"/>
              <w:left w:val="nil"/>
              <w:bottom w:val="single" w:color="auto" w:sz="8" w:space="0"/>
              <w:right w:val="single" w:color="auto" w:sz="8" w:space="0"/>
            </w:tcBorders>
            <w:noWrap w:val="0"/>
            <w:tcMar>
              <w:left w:w="57" w:type="dxa"/>
              <w:right w:w="57" w:type="dxa"/>
            </w:tcMar>
            <w:vAlign w:val="center"/>
          </w:tcPr>
          <w:p w14:paraId="1826A32C">
            <w:pPr>
              <w:rPr>
                <w:rFonts w:hint="eastAsia" w:ascii="宋体"/>
                <w:color w:val="000000"/>
                <w:sz w:val="24"/>
                <w:szCs w:val="24"/>
              </w:rPr>
            </w:pP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C70B8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商业</w:t>
            </w:r>
          </w:p>
          <w:p w14:paraId="58EA02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企业</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E118D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科研</w:t>
            </w:r>
          </w:p>
          <w:p w14:paraId="3ED399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机构</w:t>
            </w:r>
          </w:p>
        </w:tc>
        <w:tc>
          <w:tcPr>
            <w:tcW w:w="695" w:type="dxa"/>
            <w:tcBorders>
              <w:top w:val="single" w:color="auto" w:sz="8" w:space="0"/>
              <w:left w:val="nil"/>
              <w:bottom w:val="single" w:color="auto" w:sz="8" w:space="0"/>
              <w:right w:val="single" w:color="auto" w:sz="8" w:space="0"/>
            </w:tcBorders>
            <w:noWrap w:val="0"/>
            <w:tcMar>
              <w:left w:w="57" w:type="dxa"/>
              <w:right w:w="57" w:type="dxa"/>
            </w:tcMar>
            <w:vAlign w:val="center"/>
          </w:tcPr>
          <w:p w14:paraId="3C58DD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社会公益组织</w:t>
            </w:r>
          </w:p>
        </w:tc>
        <w:tc>
          <w:tcPr>
            <w:tcW w:w="695" w:type="dxa"/>
            <w:tcBorders>
              <w:top w:val="single" w:color="auto" w:sz="8" w:space="0"/>
              <w:left w:val="nil"/>
              <w:bottom w:val="single" w:color="auto" w:sz="8" w:space="0"/>
              <w:right w:val="single" w:color="auto" w:sz="8" w:space="0"/>
            </w:tcBorders>
            <w:noWrap w:val="0"/>
            <w:tcMar>
              <w:left w:w="57" w:type="dxa"/>
              <w:right w:w="57" w:type="dxa"/>
            </w:tcMar>
            <w:vAlign w:val="center"/>
          </w:tcPr>
          <w:p w14:paraId="24FD5B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法律服务机构</w:t>
            </w:r>
          </w:p>
        </w:tc>
        <w:tc>
          <w:tcPr>
            <w:tcW w:w="584" w:type="dxa"/>
            <w:tcBorders>
              <w:top w:val="single" w:color="auto" w:sz="8" w:space="0"/>
              <w:left w:val="nil"/>
              <w:bottom w:val="single" w:color="auto" w:sz="8" w:space="0"/>
              <w:right w:val="single" w:color="auto" w:sz="8" w:space="0"/>
            </w:tcBorders>
            <w:noWrap w:val="0"/>
            <w:tcMar>
              <w:left w:w="57" w:type="dxa"/>
              <w:right w:w="57" w:type="dxa"/>
            </w:tcMar>
            <w:vAlign w:val="center"/>
          </w:tcPr>
          <w:p w14:paraId="03771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其他</w:t>
            </w:r>
          </w:p>
        </w:tc>
        <w:tc>
          <w:tcPr>
            <w:tcW w:w="500"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14:paraId="1C278883">
            <w:pPr>
              <w:rPr>
                <w:rFonts w:hint="eastAsia" w:ascii="宋体"/>
                <w:color w:val="000000"/>
                <w:sz w:val="24"/>
                <w:szCs w:val="24"/>
              </w:rPr>
            </w:pPr>
          </w:p>
        </w:tc>
      </w:tr>
      <w:tr w14:paraId="27A241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7"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5FA42C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一、本年新收政府信息公开申请数量</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C9F72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lang w:val="en-US" w:eastAsia="zh-CN"/>
              </w:rPr>
            </w:pPr>
            <w:r>
              <w:rPr>
                <w:rFonts w:hint="eastAsia" w:eastAsia="宋体"/>
                <w:color w:val="000000"/>
                <w:lang w:val="en-US" w:eastAsia="zh-CN"/>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DFDF2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5185A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A3554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5F5DF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6BA66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6CB205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lang w:val="en-US" w:eastAsia="zh-CN"/>
              </w:rPr>
            </w:pPr>
            <w:r>
              <w:rPr>
                <w:rFonts w:hint="eastAsia" w:eastAsia="宋体"/>
                <w:color w:val="000000"/>
                <w:lang w:val="en-US" w:eastAsia="zh-CN"/>
              </w:rPr>
              <w:t>0</w:t>
            </w:r>
          </w:p>
        </w:tc>
      </w:tr>
      <w:tr w14:paraId="5A9ED6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6CC1E7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二、上年结转政府信息公开申请数量</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00EBB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D9678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627FB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017C3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B2E0A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63E851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68C7A0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r>
      <w:tr w14:paraId="4A313B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14:paraId="198AA3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三、本年度办理结果</w:t>
            </w: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5B649D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（一）予以公开</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2B826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070A1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ACD05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BCE3D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44197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1E697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single" w:color="auto" w:sz="8" w:space="0"/>
              <w:left w:val="nil"/>
              <w:bottom w:val="single" w:color="auto" w:sz="8" w:space="0"/>
              <w:right w:val="single" w:color="auto" w:sz="8" w:space="0"/>
            </w:tcBorders>
            <w:noWrap w:val="0"/>
            <w:tcMar>
              <w:left w:w="57" w:type="dxa"/>
              <w:right w:w="57" w:type="dxa"/>
            </w:tcMar>
            <w:vAlign w:val="center"/>
          </w:tcPr>
          <w:p w14:paraId="2B00CE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D4ABF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9"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6C48BA9">
            <w:pPr>
              <w:rPr>
                <w:rFonts w:hint="eastAsia" w:ascii="宋体"/>
                <w:color w:val="000000"/>
                <w:sz w:val="24"/>
                <w:szCs w:val="24"/>
              </w:rPr>
            </w:pP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1175CC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（二）部分公开</w:t>
            </w:r>
            <w:r>
              <w:rPr>
                <w:rFonts w:hint="eastAsia" w:ascii="楷体" w:hAnsi="楷体" w:eastAsia="楷体" w:cs="楷体"/>
                <w:color w:val="000000"/>
                <w:kern w:val="0"/>
                <w:sz w:val="20"/>
                <w:szCs w:val="20"/>
                <w:lang w:val="en-US" w:eastAsia="zh-CN" w:bidi="ar"/>
              </w:rPr>
              <w:t>（区分处理的，只计这一情形，不计其他情形）</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D4BC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B54DA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DD615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10223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8AB2E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ADFF5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33615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273567A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245EBC9">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6E7DD0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（三）不予公开</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18B179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1.属于国家秘密</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F752D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79ADE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B3903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F7D0B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98920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8DBA3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single" w:color="auto" w:sz="8" w:space="0"/>
              <w:left w:val="nil"/>
              <w:bottom w:val="single" w:color="auto" w:sz="8" w:space="0"/>
              <w:right w:val="single" w:color="auto" w:sz="8" w:space="0"/>
            </w:tcBorders>
            <w:noWrap w:val="0"/>
            <w:tcMar>
              <w:left w:w="57" w:type="dxa"/>
              <w:right w:w="57" w:type="dxa"/>
            </w:tcMar>
            <w:vAlign w:val="center"/>
          </w:tcPr>
          <w:p w14:paraId="1F1E18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61AD716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BB9C0AC">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35C14314">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08FA3A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2.其他法律行政法规禁止公开</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EF150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F88FC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E94E4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78179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BDEC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03B66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C030E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B4A27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9664D6D">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688316EA">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7CEBB6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3.危及“三安全一稳定”</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C8395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98DAF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7DD8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B58D7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30E06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D6ED9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3896EF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24607D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12D6E12">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133D5338">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E6C90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4.保护第三方合法权益</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3B1F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313A9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57D5F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D02AD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E5D9B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0537E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A8341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FC3426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BF2C59E">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635E42C5">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435FF9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5.属于三类内部事务信息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75F8A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7D631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7ECBD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45BA5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7C7D8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7A6ED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0785D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60F6DE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E10EDC2">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7D153939">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14780C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6.属于四类过程性信息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21C1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F39C6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C3112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0BEB1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D021F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44041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BCB78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79BE8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60A92BD">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0369F67F">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12A6C7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7.属于行政执法案卷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D294B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6251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06BEF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CD83E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3998B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BA83A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1F960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D772D1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0DFFA80">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65A0CE1">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3B2C5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8.属于行政查询事项</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55065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B4E32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58A43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9959D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E880D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63E9F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B2528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3F56C41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F85032D">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022DD8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（四）无法提供</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2D8145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1.本机关不掌握相关政府信息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477A0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2A656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116C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EEA5D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B5074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6F022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4F75B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230004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79A48554">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63604A1A">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1B0BF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2.没有现成信息需要另行制作</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F4966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C7EB3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14E4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BE66B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9B03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6D244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DD483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5B766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7807158">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77B21DFC">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2FAE3B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3.补正后申请内容仍不明确</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1A03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03F1E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5B97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7E427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C29A0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46D2074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167A2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D712C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CA4C156">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06FF10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（五）不予处理</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16E0FB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1.信访举报投诉类申请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9EDEBA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531CB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A198F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210FF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4EF0F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42685F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56829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DA762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3601734">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1E35C90B">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23C74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2.重复申请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DC098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F5E50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2CEE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8E1458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20EA9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506D08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25257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99ECC6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FD5C9FF">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355BE0B0">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69D3D7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3.要求提供公开出版物</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9BDD0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F46A0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031C2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17D98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DB4B7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78CE2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06386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27275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E456300">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3041F089">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2F184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4.无正当理由大量反复申请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587FF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282C3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2D28C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88944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9BF8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DF5CE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751D3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E53635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7166E25D">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706EC56">
            <w:pPr>
              <w:rPr>
                <w:rFonts w:hint="eastAsia" w:ascii="宋体"/>
                <w:color w:val="000000"/>
                <w:sz w:val="24"/>
                <w:szCs w:val="24"/>
              </w:rPr>
            </w:pPr>
          </w:p>
        </w:tc>
        <w:tc>
          <w:tcPr>
            <w:tcW w:w="3259" w:type="dxa"/>
            <w:tcBorders>
              <w:top w:val="nil"/>
              <w:left w:val="nil"/>
              <w:bottom w:val="outset" w:color="auto" w:sz="8" w:space="0"/>
              <w:right w:val="single" w:color="auto" w:sz="8" w:space="0"/>
            </w:tcBorders>
            <w:noWrap w:val="0"/>
            <w:tcMar>
              <w:left w:w="57" w:type="dxa"/>
              <w:right w:w="57" w:type="dxa"/>
            </w:tcMar>
            <w:vAlign w:val="center"/>
          </w:tcPr>
          <w:p w14:paraId="7E88DB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5.要求行政机关确认或重新出具已获取信息</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277BEC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4E93BE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1F3426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418E8B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604063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outset" w:color="auto" w:sz="8" w:space="0"/>
              <w:right w:val="single" w:color="auto" w:sz="8" w:space="0"/>
            </w:tcBorders>
            <w:noWrap w:val="0"/>
            <w:tcMar>
              <w:left w:w="57" w:type="dxa"/>
              <w:right w:w="57" w:type="dxa"/>
            </w:tcMar>
            <w:vAlign w:val="center"/>
          </w:tcPr>
          <w:p w14:paraId="28BA65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outset" w:color="auto" w:sz="8" w:space="0"/>
              <w:right w:val="single" w:color="auto" w:sz="8" w:space="0"/>
            </w:tcBorders>
            <w:noWrap w:val="0"/>
            <w:tcMar>
              <w:left w:w="57" w:type="dxa"/>
              <w:right w:w="57" w:type="dxa"/>
            </w:tcMar>
            <w:vAlign w:val="center"/>
          </w:tcPr>
          <w:p w14:paraId="23619E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B5F69A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A04D1D7">
            <w:pPr>
              <w:rPr>
                <w:rFonts w:hint="eastAsia" w:ascii="宋体"/>
                <w:color w:val="000000"/>
                <w:sz w:val="24"/>
                <w:szCs w:val="24"/>
              </w:rPr>
            </w:pPr>
          </w:p>
        </w:tc>
        <w:tc>
          <w:tcPr>
            <w:tcW w:w="95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14:paraId="291663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（六）其他处理</w:t>
            </w: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065BEC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1.申请人无正当理由逾期不补正、行政机关不再处理其政府信息公开申请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E23C0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0B207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3558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C92C1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3DEF1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E69F6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32F34F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E110DE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13EB41B">
            <w:pPr>
              <w:rPr>
                <w:rFonts w:hint="eastAsia" w:ascii="宋体"/>
                <w:color w:val="000000"/>
                <w:sz w:val="24"/>
                <w:szCs w:val="24"/>
              </w:rPr>
            </w:pPr>
          </w:p>
        </w:tc>
        <w:tc>
          <w:tcPr>
            <w:tcW w:w="95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6C4147D4">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646893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2.申请人逾期未按收费通知要求缴纳费用、行政机关不再处理其政府信息公开申请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172BF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D182E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25FDD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EE056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DB031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8573B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A09EE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CDB81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3B3D9A2">
            <w:pPr>
              <w:rPr>
                <w:rFonts w:hint="eastAsia" w:ascii="宋体"/>
                <w:color w:val="000000"/>
                <w:sz w:val="24"/>
                <w:szCs w:val="24"/>
              </w:rPr>
            </w:pPr>
          </w:p>
        </w:tc>
        <w:tc>
          <w:tcPr>
            <w:tcW w:w="95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194645FF">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45E529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3.其他</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29535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660D5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19CFA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00FEB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5A7FB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A6040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AD4FB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258BC9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BDFFFA0">
            <w:pPr>
              <w:rPr>
                <w:rFonts w:hint="eastAsia" w:ascii="宋体"/>
                <w:color w:val="000000"/>
                <w:sz w:val="24"/>
                <w:szCs w:val="24"/>
              </w:rPr>
            </w:pP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192E0B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（七）总计</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CAD82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784D5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5735F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38908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3F86C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8071C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3E2EB0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44677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6"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39AC76E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四、结转下年度继续办理</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E2A7D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C9329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650C9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244DB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AA4F5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BC227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85DA1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bl>
    <w:p w14:paraId="095F436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宋体" w:hAnsi="宋体" w:eastAsia="宋体" w:cs="宋体"/>
          <w:i w:val="0"/>
          <w:caps w:val="0"/>
          <w:color w:val="000000"/>
          <w:spacing w:val="0"/>
          <w:sz w:val="24"/>
          <w:szCs w:val="24"/>
        </w:rPr>
      </w:pPr>
    </w:p>
    <w:p w14:paraId="21B899E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24"/>
          <w:szCs w:val="24"/>
          <w:shd w:val="clear" w:color="auto" w:fill="FFFFFF"/>
        </w:rPr>
      </w:pPr>
      <w:r>
        <w:rPr>
          <w:rFonts w:hint="eastAsia" w:ascii="黑体" w:hAnsi="黑体" w:eastAsia="黑体" w:cs="黑体"/>
          <w:b w:val="0"/>
          <w:bCs/>
          <w:i w:val="0"/>
          <w:caps w:val="0"/>
          <w:color w:val="000000"/>
          <w:spacing w:val="0"/>
          <w:sz w:val="32"/>
          <w:szCs w:val="32"/>
          <w:shd w:val="clear" w:color="auto" w:fill="FFFFFF"/>
        </w:rPr>
        <w:t>四、政府信息公开行政复议、行政诉讼情况</w:t>
      </w:r>
    </w:p>
    <w:tbl>
      <w:tblPr>
        <w:tblStyle w:val="7"/>
        <w:tblW w:w="97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52"/>
        <w:gridCol w:w="652"/>
        <w:gridCol w:w="652"/>
        <w:gridCol w:w="652"/>
        <w:gridCol w:w="654"/>
        <w:gridCol w:w="652"/>
        <w:gridCol w:w="652"/>
        <w:gridCol w:w="653"/>
        <w:gridCol w:w="653"/>
        <w:gridCol w:w="655"/>
        <w:gridCol w:w="654"/>
        <w:gridCol w:w="654"/>
        <w:gridCol w:w="654"/>
        <w:gridCol w:w="654"/>
        <w:gridCol w:w="656"/>
      </w:tblGrid>
      <w:tr w14:paraId="206478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7" w:hRule="atLeast"/>
          <w:jc w:val="center"/>
        </w:trPr>
        <w:tc>
          <w:tcPr>
            <w:tcW w:w="326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8AB32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行政复议</w:t>
            </w:r>
          </w:p>
        </w:tc>
        <w:tc>
          <w:tcPr>
            <w:tcW w:w="6537"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46631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行政诉讼</w:t>
            </w:r>
          </w:p>
        </w:tc>
      </w:tr>
      <w:tr w14:paraId="2B6797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7" w:hRule="atLeast"/>
          <w:jc w:val="center"/>
        </w:trPr>
        <w:tc>
          <w:tcPr>
            <w:tcW w:w="65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1598EE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结果维持</w:t>
            </w:r>
          </w:p>
        </w:tc>
        <w:tc>
          <w:tcPr>
            <w:tcW w:w="65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7DAE2A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4E8B50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D7A20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7AA8C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B3684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63F5B0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4"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CF82E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c>
          <w:tcPr>
            <w:tcW w:w="326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4F961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未经复议直接起诉</w:t>
            </w:r>
          </w:p>
        </w:tc>
        <w:tc>
          <w:tcPr>
            <w:tcW w:w="327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342FE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复议后起诉</w:t>
            </w:r>
          </w:p>
        </w:tc>
      </w:tr>
      <w:tr w14:paraId="63701A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3" w:hRule="atLeast"/>
          <w:jc w:val="center"/>
        </w:trPr>
        <w:tc>
          <w:tcPr>
            <w:tcW w:w="65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10B495A2">
            <w:pPr>
              <w:rPr>
                <w:rFonts w:hint="eastAsia" w:ascii="宋体"/>
                <w:color w:val="000000"/>
                <w:sz w:val="24"/>
                <w:szCs w:val="24"/>
              </w:rPr>
            </w:pPr>
          </w:p>
        </w:tc>
        <w:tc>
          <w:tcPr>
            <w:tcW w:w="65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95F054A">
            <w:pPr>
              <w:rPr>
                <w:rFonts w:hint="eastAsia" w:ascii="宋体"/>
                <w:color w:val="000000"/>
                <w:sz w:val="24"/>
                <w:szCs w:val="24"/>
              </w:rPr>
            </w:pPr>
          </w:p>
        </w:tc>
        <w:tc>
          <w:tcPr>
            <w:tcW w:w="6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F453AAE">
            <w:pPr>
              <w:rPr>
                <w:rFonts w:hint="eastAsia" w:ascii="宋体"/>
                <w:color w:val="000000"/>
                <w:sz w:val="24"/>
                <w:szCs w:val="24"/>
              </w:rPr>
            </w:pPr>
          </w:p>
        </w:tc>
        <w:tc>
          <w:tcPr>
            <w:tcW w:w="6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28A20BD">
            <w:pPr>
              <w:rPr>
                <w:rFonts w:hint="eastAsia" w:ascii="宋体"/>
                <w:color w:val="000000"/>
                <w:sz w:val="24"/>
                <w:szCs w:val="24"/>
              </w:rPr>
            </w:pPr>
          </w:p>
        </w:tc>
        <w:tc>
          <w:tcPr>
            <w:tcW w:w="654"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DF4A570">
            <w:pPr>
              <w:rPr>
                <w:rFonts w:hint="eastAsia" w:ascii="宋体"/>
                <w:color w:val="000000"/>
                <w:sz w:val="24"/>
                <w:szCs w:val="24"/>
              </w:rPr>
            </w:pP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D0EC1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13D97E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维持</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0CB00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010E86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497FD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206A81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F199E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3F0A33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808FC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F8D18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119FDF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维持</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32D54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57815C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06DE1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745184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C6DA5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789144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FD440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r>
      <w:tr w14:paraId="301514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4" w:hRule="atLeast"/>
          <w:jc w:val="center"/>
        </w:trPr>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18226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eastAsia="宋体"/>
                <w:color w:val="000000"/>
                <w:lang w:val="en-US" w:eastAsia="zh-CN"/>
              </w:rPr>
            </w:pPr>
            <w:r>
              <w:rPr>
                <w:rFonts w:hint="eastAsia" w:eastAsia="宋体"/>
                <w:color w:val="000000"/>
                <w:lang w:val="en-US" w:eastAsia="zh-CN"/>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A8753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C4FE8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6CA21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1268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15691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408B0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8C306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3264B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41F80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8DF7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F7928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2FF40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4DF12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98838E8">
            <w:pPr>
              <w:jc w:val="center"/>
              <w:rPr>
                <w:rFonts w:hint="eastAsia" w:ascii="宋体" w:eastAsia="宋体"/>
                <w:color w:val="000000"/>
                <w:sz w:val="24"/>
                <w:szCs w:val="24"/>
                <w:lang w:val="en-US" w:eastAsia="zh-CN"/>
              </w:rPr>
            </w:pPr>
            <w:r>
              <w:rPr>
                <w:rFonts w:hint="eastAsia" w:ascii="宋体" w:eastAsia="宋体"/>
                <w:color w:val="000000"/>
                <w:sz w:val="24"/>
                <w:szCs w:val="24"/>
                <w:lang w:val="en-US" w:eastAsia="zh-CN"/>
              </w:rPr>
              <w:t>0</w:t>
            </w:r>
          </w:p>
        </w:tc>
      </w:tr>
    </w:tbl>
    <w:p w14:paraId="32AA21F9">
      <w:pPr>
        <w:keepNext w:val="0"/>
        <w:keepLines w:val="0"/>
        <w:pageBreakBefore w:val="0"/>
        <w:widowControl w:val="0"/>
        <w:numPr>
          <w:ilvl w:val="0"/>
          <w:numId w:val="1"/>
        </w:numPr>
        <w:kinsoku/>
        <w:wordWrap/>
        <w:overflowPunct/>
        <w:topLinePunct w:val="0"/>
        <w:autoSpaceDE/>
        <w:autoSpaceDN/>
        <w:bidi w:val="0"/>
        <w:spacing w:line="600" w:lineRule="exact"/>
        <w:ind w:firstLine="640" w:firstLineChars="200"/>
        <w:jc w:val="both"/>
        <w:outlineLvl w:val="1"/>
        <w:rPr>
          <w:rFonts w:hint="eastAsia" w:ascii="黑体" w:hAnsi="黑体" w:eastAsia="黑体" w:cs="黑体"/>
          <w:snapToGrid/>
          <w:kern w:val="2"/>
          <w:sz w:val="32"/>
          <w:szCs w:val="32"/>
        </w:rPr>
      </w:pPr>
      <w:r>
        <w:rPr>
          <w:rFonts w:hint="eastAsia" w:ascii="黑体" w:hAnsi="黑体" w:eastAsia="黑体" w:cs="黑体"/>
          <w:snapToGrid/>
          <w:kern w:val="2"/>
          <w:sz w:val="32"/>
          <w:szCs w:val="32"/>
        </w:rPr>
        <w:t>存在的主要问题及改进情况</w:t>
      </w:r>
    </w:p>
    <w:p w14:paraId="601EB0A0">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sz w:val="32"/>
          <w:szCs w:val="32"/>
        </w:rPr>
      </w:pPr>
      <w:r>
        <w:rPr>
          <w:rFonts w:hint="eastAsia" w:ascii="仿宋" w:hAnsi="仿宋" w:eastAsia="仿宋" w:cs="仿宋"/>
          <w:b/>
          <w:bCs/>
          <w:sz w:val="32"/>
          <w:szCs w:val="32"/>
        </w:rPr>
        <w:t>一是强化对外宣传及对内培训。</w:t>
      </w:r>
      <w:r>
        <w:rPr>
          <w:rFonts w:hint="eastAsia" w:ascii="仿宋" w:hAnsi="仿宋" w:eastAsia="仿宋" w:cs="仿宋"/>
          <w:sz w:val="32"/>
          <w:szCs w:val="32"/>
        </w:rPr>
        <w:t xml:space="preserve">进一步提高公众对政府信息公开的知晓率和参与度，加强对我局政府信息公开工作人员及审计人员政府信息公开业务的学习和培训，尤其是在依申请政府信息公开的制度、法规及接待技巧等方面。 </w:t>
      </w:r>
    </w:p>
    <w:p w14:paraId="4E92784C">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仿宋" w:hAnsi="仿宋" w:eastAsia="仿宋" w:cs="仿宋"/>
          <w:sz w:val="32"/>
          <w:szCs w:val="32"/>
        </w:rPr>
      </w:pPr>
      <w:r>
        <w:rPr>
          <w:rFonts w:hint="eastAsia" w:ascii="仿宋" w:hAnsi="仿宋" w:eastAsia="仿宋" w:cs="仿宋"/>
          <w:b/>
          <w:bCs/>
          <w:sz w:val="32"/>
          <w:szCs w:val="32"/>
        </w:rPr>
        <w:t>二是进一步完善政府信息公开各项保障措施</w:t>
      </w:r>
      <w:r>
        <w:rPr>
          <w:rFonts w:hint="eastAsia" w:ascii="仿宋" w:hAnsi="仿宋" w:eastAsia="仿宋" w:cs="仿宋"/>
          <w:b/>
          <w:bCs/>
          <w:sz w:val="32"/>
          <w:szCs w:val="32"/>
          <w:lang w:eastAsia="zh-CN"/>
        </w:rPr>
        <w:t>。</w:t>
      </w:r>
      <w:r>
        <w:rPr>
          <w:rFonts w:hint="eastAsia" w:ascii="仿宋" w:hAnsi="仿宋" w:eastAsia="仿宋" w:cs="仿宋"/>
          <w:sz w:val="32"/>
          <w:szCs w:val="32"/>
        </w:rPr>
        <w:t>丰富政府信息公开监督、检查、考核手段，注重条线横向联系、纵向指导的沟通协调机制，不断提升政府信息公开工作的规范化、标准化、精细化水平，切实以公开促落实、以公开促规范、以公开促服务。。</w:t>
      </w:r>
    </w:p>
    <w:p w14:paraId="05AB1F38">
      <w:pPr>
        <w:keepNext w:val="0"/>
        <w:keepLines w:val="0"/>
        <w:pageBreakBefore w:val="0"/>
        <w:widowControl/>
        <w:kinsoku w:val="0"/>
        <w:wordWrap/>
        <w:overflowPunct/>
        <w:topLinePunct w:val="0"/>
        <w:autoSpaceDE w:val="0"/>
        <w:autoSpaceDN w:val="0"/>
        <w:bidi w:val="0"/>
        <w:adjustRightInd w:val="0"/>
        <w:snapToGrid w:val="0"/>
        <w:spacing w:line="600" w:lineRule="exact"/>
        <w:ind w:firstLine="643" w:firstLineChars="200"/>
        <w:textAlignment w:val="baseline"/>
        <w:rPr>
          <w:rFonts w:hint="eastAsia" w:ascii="黑体" w:hAnsi="黑体" w:eastAsia="黑体" w:cs="黑体"/>
          <w:snapToGrid/>
          <w:kern w:val="2"/>
          <w:sz w:val="32"/>
          <w:szCs w:val="32"/>
        </w:rPr>
      </w:pPr>
      <w:r>
        <w:rPr>
          <w:rFonts w:hint="eastAsia" w:ascii="仿宋" w:hAnsi="仿宋" w:eastAsia="仿宋" w:cs="仿宋"/>
          <w:b/>
          <w:bCs/>
          <w:sz w:val="32"/>
          <w:szCs w:val="32"/>
        </w:rPr>
        <w:t>三是丰富公开内容。</w:t>
      </w:r>
      <w:r>
        <w:rPr>
          <w:rFonts w:hint="eastAsia" w:ascii="仿宋" w:hAnsi="仿宋" w:eastAsia="仿宋" w:cs="仿宋"/>
          <w:sz w:val="32"/>
          <w:szCs w:val="32"/>
        </w:rPr>
        <w:t xml:space="preserve">我局将正确处理公开与保密的关系，进一步梳理政府信息，对原有的政府信息公开目录进行补充完善，保证公开信息的完整性和准确性。在确保国家秘密安全的前提下，最大程度、最快速度地公开应公开的信息。同时，推动由静态的信息公开向动态的运行过程公开延伸，使其置于公众监督之下，进一步强化全过程监督。 </w:t>
      </w:r>
    </w:p>
    <w:p w14:paraId="25908C54">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64" w:firstLineChars="200"/>
        <w:jc w:val="left"/>
        <w:textAlignment w:val="auto"/>
        <w:rPr>
          <w:rFonts w:hint="eastAsia" w:ascii="黑体" w:hAnsi="黑体" w:eastAsia="黑体" w:cs="黑体"/>
          <w:b w:val="0"/>
          <w:bCs/>
          <w:spacing w:val="6"/>
          <w:sz w:val="32"/>
          <w:szCs w:val="32"/>
          <w:lang w:eastAsia="zh-CN"/>
        </w:rPr>
      </w:pPr>
    </w:p>
    <w:p w14:paraId="24D700B6">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64" w:firstLineChars="200"/>
        <w:jc w:val="left"/>
        <w:textAlignment w:val="auto"/>
        <w:rPr>
          <w:rFonts w:hint="eastAsia" w:ascii="黑体" w:hAnsi="黑体" w:eastAsia="黑体" w:cs="黑体"/>
          <w:b w:val="0"/>
          <w:bCs/>
          <w:spacing w:val="6"/>
          <w:sz w:val="32"/>
          <w:szCs w:val="32"/>
          <w:lang w:eastAsia="zh-CN"/>
        </w:rPr>
      </w:pPr>
      <w:r>
        <w:rPr>
          <w:rFonts w:hint="eastAsia" w:ascii="黑体" w:hAnsi="黑体" w:eastAsia="黑体" w:cs="黑体"/>
          <w:b w:val="0"/>
          <w:bCs/>
          <w:spacing w:val="6"/>
          <w:sz w:val="32"/>
          <w:szCs w:val="32"/>
          <w:lang w:eastAsia="zh-CN"/>
        </w:rPr>
        <w:t>六、其他需要报告的事项</w:t>
      </w:r>
    </w:p>
    <w:p w14:paraId="5528333B">
      <w:pPr>
        <w:keepNext w:val="0"/>
        <w:keepLines w:val="0"/>
        <w:pageBreakBefore w:val="0"/>
        <w:wordWrap/>
        <w:overflowPunct/>
        <w:topLinePunct w:val="0"/>
        <w:bidi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b w:val="0"/>
          <w:i w:val="0"/>
          <w:caps w:val="0"/>
          <w:color w:val="333333"/>
          <w:spacing w:val="0"/>
          <w:sz w:val="32"/>
          <w:szCs w:val="32"/>
          <w:shd w:val="clear" w:color="auto" w:fill="FFFFFF"/>
          <w:lang w:val="en-US" w:eastAsia="zh-CN"/>
        </w:rPr>
        <w:t>本年度未收取信息公开处理费。</w:t>
      </w:r>
      <w:r>
        <w:rPr>
          <w:rFonts w:hint="eastAsia" w:ascii="仿宋_GB2312" w:hAnsi="仿宋" w:eastAsia="仿宋_GB2312" w:cs="仿宋"/>
          <w:spacing w:val="13"/>
          <w:w w:val="101"/>
          <w:sz w:val="32"/>
          <w:szCs w:val="32"/>
        </w:rPr>
        <w:t xml:space="preserve">   </w:t>
      </w:r>
      <w:r>
        <w:rPr>
          <w:rFonts w:hint="eastAsia" w:ascii="仿宋" w:hAnsi="仿宋" w:eastAsia="仿宋" w:cs="仿宋"/>
          <w:kern w:val="0"/>
          <w:sz w:val="32"/>
          <w:szCs w:val="32"/>
        </w:rPr>
        <w:t xml:space="preserve"> </w:t>
      </w:r>
    </w:p>
    <w:p w14:paraId="4623FCB3">
      <w:pPr>
        <w:keepNext w:val="0"/>
        <w:keepLines w:val="0"/>
        <w:pageBreakBefore w:val="0"/>
        <w:wordWrap w:val="0"/>
        <w:overflowPunct/>
        <w:topLinePunct w:val="0"/>
        <w:bidi w:val="0"/>
        <w:spacing w:line="600" w:lineRule="exact"/>
        <w:ind w:firstLine="640" w:firstLineChars="200"/>
        <w:jc w:val="right"/>
        <w:rPr>
          <w:rFonts w:hint="eastAsia" w:ascii="仿宋" w:hAnsi="仿宋" w:eastAsia="仿宋" w:cs="仿宋"/>
          <w:kern w:val="0"/>
          <w:sz w:val="32"/>
          <w:szCs w:val="32"/>
          <w:lang w:val="en-US" w:eastAsia="zh-CN"/>
        </w:rPr>
      </w:pPr>
    </w:p>
    <w:p w14:paraId="2D70C91D">
      <w:pPr>
        <w:keepNext w:val="0"/>
        <w:keepLines w:val="0"/>
        <w:pageBreakBefore w:val="0"/>
        <w:wordWrap w:val="0"/>
        <w:overflowPunct/>
        <w:topLinePunct w:val="0"/>
        <w:bidi w:val="0"/>
        <w:spacing w:line="600" w:lineRule="exact"/>
        <w:ind w:firstLine="640" w:firstLineChars="200"/>
        <w:jc w:val="right"/>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隰县审计局        </w:t>
      </w:r>
    </w:p>
    <w:p w14:paraId="45B3FACC">
      <w:pPr>
        <w:keepNext w:val="0"/>
        <w:keepLines w:val="0"/>
        <w:pageBreakBefore w:val="0"/>
        <w:wordWrap w:val="0"/>
        <w:overflowPunct/>
        <w:topLinePunct w:val="0"/>
        <w:bidi w:val="0"/>
        <w:spacing w:line="600" w:lineRule="exact"/>
        <w:ind w:firstLine="640" w:firstLineChars="200"/>
        <w:jc w:val="right"/>
        <w:rPr>
          <w:rFonts w:hint="default" w:ascii="仿宋" w:hAnsi="仿宋" w:eastAsia="仿宋" w:cs="仿宋"/>
          <w:kern w:val="0"/>
          <w:sz w:val="32"/>
          <w:szCs w:val="32"/>
          <w:lang w:val="en-US" w:eastAsia="zh-CN"/>
        </w:rPr>
      </w:pP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日</w:t>
      </w:r>
      <w:r>
        <w:rPr>
          <w:rFonts w:hint="eastAsia" w:ascii="仿宋" w:hAnsi="仿宋" w:eastAsia="仿宋" w:cs="仿宋"/>
          <w:kern w:val="0"/>
          <w:sz w:val="32"/>
          <w:szCs w:val="32"/>
          <w:lang w:val="en-US" w:eastAsia="zh-CN"/>
        </w:rPr>
        <w:t xml:space="preserve">      </w:t>
      </w:r>
    </w:p>
    <w:sectPr>
      <w:headerReference r:id="rId3" w:type="default"/>
      <w:footerReference r:id="rId4" w:type="default"/>
      <w:pgSz w:w="11700" w:h="16680"/>
      <w:pgMar w:top="1701" w:right="1701" w:bottom="1701" w:left="1701" w:header="0" w:footer="1038"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幼圆">
    <w:altName w:val="华文仿宋"/>
    <w:panose1 w:val="0201050906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DD898">
    <w:pPr>
      <w:spacing w:line="136" w:lineRule="exact"/>
      <w:ind w:firstLine="4880"/>
      <w:rPr>
        <w:rFonts w:ascii="幼圆" w:hAnsi="幼圆" w:eastAsia="幼圆" w:cs="幼圆"/>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B7EA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47B7EA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1E658">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0BB797"/>
    <w:multiLevelType w:val="singleLevel"/>
    <w:tmpl w:val="160BB797"/>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jODEzODUwZWU4NzM1MWE1NzBjNTcxMjllODI1YjIifQ=="/>
  </w:docVars>
  <w:rsids>
    <w:rsidRoot w:val="5CE92545"/>
    <w:rsid w:val="001D76D3"/>
    <w:rsid w:val="003F1BD7"/>
    <w:rsid w:val="003F5DF5"/>
    <w:rsid w:val="00872F73"/>
    <w:rsid w:val="00B41972"/>
    <w:rsid w:val="00BE52FA"/>
    <w:rsid w:val="00C16614"/>
    <w:rsid w:val="00CE2EF2"/>
    <w:rsid w:val="00DD18D0"/>
    <w:rsid w:val="014940A9"/>
    <w:rsid w:val="022E3DE7"/>
    <w:rsid w:val="0742121E"/>
    <w:rsid w:val="14DE6CA3"/>
    <w:rsid w:val="17EE42D3"/>
    <w:rsid w:val="20F536AE"/>
    <w:rsid w:val="21A460DD"/>
    <w:rsid w:val="26C568DA"/>
    <w:rsid w:val="272B4F83"/>
    <w:rsid w:val="27462C2A"/>
    <w:rsid w:val="2A8319E2"/>
    <w:rsid w:val="335049F8"/>
    <w:rsid w:val="34A004E3"/>
    <w:rsid w:val="398B6A85"/>
    <w:rsid w:val="3DD7639D"/>
    <w:rsid w:val="3F5F3B75"/>
    <w:rsid w:val="4045631A"/>
    <w:rsid w:val="42777BEA"/>
    <w:rsid w:val="470434FA"/>
    <w:rsid w:val="49FC2992"/>
    <w:rsid w:val="52624BDF"/>
    <w:rsid w:val="57604332"/>
    <w:rsid w:val="5CE92545"/>
    <w:rsid w:val="5DC60D53"/>
    <w:rsid w:val="65EA7CFF"/>
    <w:rsid w:val="672A38A2"/>
    <w:rsid w:val="6CFE30EA"/>
    <w:rsid w:val="6FFF2E91"/>
    <w:rsid w:val="72165710"/>
    <w:rsid w:val="72883B4F"/>
    <w:rsid w:val="73EB2AF2"/>
    <w:rsid w:val="780D455C"/>
    <w:rsid w:val="FFB39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Calibri" w:hAnsi="Calibri" w:eastAsia="宋体" w:cs="Times New Roman"/>
    </w:rPr>
  </w:style>
  <w:style w:type="paragraph" w:styleId="3">
    <w:name w:val="footer"/>
    <w:basedOn w:val="1"/>
    <w:link w:val="31"/>
    <w:qFormat/>
    <w:uiPriority w:val="0"/>
    <w:pPr>
      <w:tabs>
        <w:tab w:val="center" w:pos="4153"/>
        <w:tab w:val="right" w:pos="8306"/>
      </w:tabs>
    </w:pPr>
    <w:rPr>
      <w:sz w:val="18"/>
      <w:szCs w:val="18"/>
    </w:rPr>
  </w:style>
  <w:style w:type="paragraph" w:styleId="4">
    <w:name w:val="header"/>
    <w:basedOn w:val="1"/>
    <w:link w:val="30"/>
    <w:qFormat/>
    <w:uiPriority w:val="0"/>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spacing w:beforeAutospacing="1" w:afterAutospacing="1"/>
    </w:pPr>
    <w:rPr>
      <w:rFonts w:cs="Times New Roman"/>
      <w:sz w:val="24"/>
    </w:rPr>
  </w:style>
  <w:style w:type="paragraph" w:styleId="6">
    <w:name w:val="Title"/>
    <w:basedOn w:val="1"/>
    <w:next w:val="1"/>
    <w:qFormat/>
    <w:uiPriority w:val="10"/>
    <w:pPr>
      <w:spacing w:before="240" w:after="60"/>
      <w:jc w:val="center"/>
      <w:outlineLvl w:val="0"/>
    </w:pPr>
    <w:rPr>
      <w:rFonts w:ascii="Arial" w:hAnsi="Arial" w:cs="Arial"/>
      <w:b/>
      <w:bCs/>
      <w:sz w:val="32"/>
      <w:szCs w:val="32"/>
    </w:rPr>
  </w:style>
  <w:style w:type="character" w:styleId="9">
    <w:name w:val="Strong"/>
    <w:basedOn w:val="8"/>
    <w:qFormat/>
    <w:uiPriority w:val="0"/>
    <w:rPr>
      <w:b/>
    </w:rPr>
  </w:style>
  <w:style w:type="character" w:styleId="10">
    <w:name w:val="FollowedHyperlink"/>
    <w:basedOn w:val="8"/>
    <w:qFormat/>
    <w:uiPriority w:val="0"/>
    <w:rPr>
      <w:color w:val="555555"/>
      <w:u w:val="none"/>
    </w:rPr>
  </w:style>
  <w:style w:type="character" w:styleId="11">
    <w:name w:val="Hyperlink"/>
    <w:basedOn w:val="8"/>
    <w:qFormat/>
    <w:uiPriority w:val="0"/>
    <w:rPr>
      <w:color w:val="555555"/>
      <w:u w:val="none"/>
    </w:rPr>
  </w:style>
  <w:style w:type="paragraph" w:customStyle="1" w:styleId="12">
    <w:name w:val="No Spacing_ad81b47b-6779-4c76-b471-79375858c8cb"/>
    <w:basedOn w:val="1"/>
    <w:next w:val="1"/>
    <w:qFormat/>
    <w:uiPriority w:val="0"/>
    <w:pPr>
      <w:ind w:firstLine="200" w:firstLineChars="200"/>
    </w:pPr>
    <w:rPr>
      <w:rFonts w:ascii="Times New Roman" w:hAnsi="Times New Roman" w:cs="Times New Roman"/>
    </w:r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icon6"/>
    <w:basedOn w:val="8"/>
    <w:qFormat/>
    <w:uiPriority w:val="0"/>
  </w:style>
  <w:style w:type="character" w:customStyle="1" w:styleId="15">
    <w:name w:val="icon5"/>
    <w:basedOn w:val="8"/>
    <w:qFormat/>
    <w:uiPriority w:val="0"/>
  </w:style>
  <w:style w:type="character" w:customStyle="1" w:styleId="16">
    <w:name w:val="icon4"/>
    <w:basedOn w:val="8"/>
    <w:qFormat/>
    <w:uiPriority w:val="0"/>
  </w:style>
  <w:style w:type="character" w:customStyle="1" w:styleId="17">
    <w:name w:val="icon1"/>
    <w:basedOn w:val="8"/>
    <w:qFormat/>
    <w:uiPriority w:val="0"/>
  </w:style>
  <w:style w:type="character" w:customStyle="1" w:styleId="18">
    <w:name w:val="icon3"/>
    <w:basedOn w:val="8"/>
    <w:qFormat/>
    <w:uiPriority w:val="0"/>
  </w:style>
  <w:style w:type="character" w:customStyle="1" w:styleId="19">
    <w:name w:val="icon2"/>
    <w:basedOn w:val="8"/>
    <w:qFormat/>
    <w:uiPriority w:val="0"/>
  </w:style>
  <w:style w:type="character" w:customStyle="1" w:styleId="20">
    <w:name w:val="icon7"/>
    <w:basedOn w:val="8"/>
    <w:qFormat/>
    <w:uiPriority w:val="0"/>
  </w:style>
  <w:style w:type="character" w:customStyle="1" w:styleId="21">
    <w:name w:val="icon8"/>
    <w:basedOn w:val="8"/>
    <w:qFormat/>
    <w:uiPriority w:val="0"/>
  </w:style>
  <w:style w:type="character" w:customStyle="1" w:styleId="22">
    <w:name w:val="hover9"/>
    <w:basedOn w:val="8"/>
    <w:qFormat/>
    <w:uiPriority w:val="0"/>
    <w:rPr>
      <w:color w:val="076FF4"/>
      <w:bdr w:val="single" w:color="076FF4" w:sz="6" w:space="0"/>
    </w:rPr>
  </w:style>
  <w:style w:type="character" w:customStyle="1" w:styleId="23">
    <w:name w:val="on2"/>
    <w:basedOn w:val="8"/>
    <w:qFormat/>
    <w:uiPriority w:val="0"/>
    <w:rPr>
      <w:color w:val="076FF4"/>
      <w:bdr w:val="single" w:color="076FF4" w:sz="6" w:space="0"/>
    </w:rPr>
  </w:style>
  <w:style w:type="character" w:customStyle="1" w:styleId="24">
    <w:name w:val="prevstop1"/>
    <w:basedOn w:val="8"/>
    <w:qFormat/>
    <w:uiPriority w:val="0"/>
    <w:rPr>
      <w:color w:val="ACACAC"/>
      <w:shd w:val="clear" w:color="auto" w:fill="F2F2F2"/>
    </w:rPr>
  </w:style>
  <w:style w:type="character" w:customStyle="1" w:styleId="25">
    <w:name w:val="nextstop1"/>
    <w:basedOn w:val="8"/>
    <w:qFormat/>
    <w:uiPriority w:val="0"/>
    <w:rPr>
      <w:color w:val="ACACAC"/>
      <w:shd w:val="clear" w:color="auto" w:fill="F2F2F2"/>
    </w:rPr>
  </w:style>
  <w:style w:type="character" w:customStyle="1" w:styleId="26">
    <w:name w:val="share"/>
    <w:basedOn w:val="8"/>
    <w:qFormat/>
    <w:uiPriority w:val="0"/>
  </w:style>
  <w:style w:type="character" w:customStyle="1" w:styleId="27">
    <w:name w:val="prevstop"/>
    <w:basedOn w:val="8"/>
    <w:qFormat/>
    <w:uiPriority w:val="0"/>
    <w:rPr>
      <w:color w:val="ACACAC"/>
      <w:shd w:val="clear" w:color="auto" w:fill="F2F2F2"/>
    </w:rPr>
  </w:style>
  <w:style w:type="character" w:customStyle="1" w:styleId="28">
    <w:name w:val="hover"/>
    <w:basedOn w:val="8"/>
    <w:qFormat/>
    <w:uiPriority w:val="0"/>
    <w:rPr>
      <w:color w:val="076FF4"/>
      <w:bdr w:val="single" w:color="076FF4" w:sz="6" w:space="0"/>
    </w:rPr>
  </w:style>
  <w:style w:type="character" w:customStyle="1" w:styleId="29">
    <w:name w:val="on1"/>
    <w:basedOn w:val="8"/>
    <w:qFormat/>
    <w:uiPriority w:val="0"/>
    <w:rPr>
      <w:color w:val="076FF4"/>
      <w:bdr w:val="single" w:color="076FF4" w:sz="6" w:space="0"/>
    </w:rPr>
  </w:style>
  <w:style w:type="character" w:customStyle="1" w:styleId="30">
    <w:name w:val="页眉 Char"/>
    <w:basedOn w:val="8"/>
    <w:link w:val="4"/>
    <w:qFormat/>
    <w:uiPriority w:val="0"/>
    <w:rPr>
      <w:rFonts w:ascii="Arial" w:hAnsi="Arial" w:eastAsia="Arial" w:cs="Arial"/>
      <w:snapToGrid w:val="0"/>
      <w:color w:val="000000"/>
      <w:sz w:val="18"/>
      <w:szCs w:val="18"/>
    </w:rPr>
  </w:style>
  <w:style w:type="character" w:customStyle="1" w:styleId="31">
    <w:name w:val="页脚 Char"/>
    <w:basedOn w:val="8"/>
    <w:link w:val="3"/>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414</Words>
  <Characters>434</Characters>
  <Lines>17</Lines>
  <Paragraphs>4</Paragraphs>
  <TotalTime>3</TotalTime>
  <ScaleCrop>false</ScaleCrop>
  <LinksUpToDate>false</LinksUpToDate>
  <CharactersWithSpaces>434</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2022-01-26T00:17:00Z</dcterms:created>
  <dc:creator>小鹏友</dc:creator>
  <cp:lastModifiedBy>kylin</cp:lastModifiedBy>
  <cp:lastPrinted>2022-01-26T01:42:00Z</cp:lastPrinted>
  <dcterms:modified xsi:type="dcterms:W3CDTF">2026-02-19T12:17:26Z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B971332501E77F7D514781696987D0E0_43</vt:lpwstr>
  </property>
  <property fmtid="{D5CDD505-2E9C-101B-9397-08002B2CF9AE}" pid="4" name="KSOTemplateDocerSaveRecord">
    <vt:lpwstr>eyJoZGlkIjoiNWQ1NDBmYTlmYzg3ZGRmZWZkYTJlNzUxYjczZDg5MGEiLCJ1c2VySWQiOiIzNDI4ODMzNTYifQ==</vt:lpwstr>
  </property>
</Properties>
</file>