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D34DC8"/>
    <w:p w14:paraId="2C22EE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40" w:lineRule="exact"/>
        <w:jc w:val="center"/>
        <w:rPr>
          <w:rFonts w:hint="eastAsia" w:ascii="方正小标宋简体" w:eastAsia="方正小标宋简体" w:hAnsiTheme="majorEastAsia" w:cstheme="majorEastAsia"/>
          <w:bCs/>
          <w:sz w:val="44"/>
          <w:szCs w:val="44"/>
          <w:lang w:eastAsia="zh-CN"/>
        </w:rPr>
      </w:pPr>
      <w:r>
        <w:rPr>
          <w:rFonts w:hint="eastAsia" w:ascii="方正小标宋简体" w:eastAsia="方正小标宋简体" w:hAnsiTheme="majorEastAsia" w:cstheme="majorEastAsia"/>
          <w:bCs/>
          <w:sz w:val="44"/>
          <w:szCs w:val="44"/>
          <w:lang w:eastAsia="zh-CN"/>
        </w:rPr>
        <w:t>下李乡人民政府</w:t>
      </w:r>
    </w:p>
    <w:p w14:paraId="677643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40" w:lineRule="exact"/>
        <w:jc w:val="center"/>
        <w:rPr>
          <w:rFonts w:ascii="方正小标宋简体" w:eastAsia="方正小标宋简体" w:hAnsiTheme="majorEastAsia" w:cstheme="majorEastAsia"/>
          <w:bCs/>
          <w:sz w:val="44"/>
          <w:szCs w:val="44"/>
        </w:rPr>
      </w:pPr>
      <w:r>
        <w:rPr>
          <w:rFonts w:hint="eastAsia" w:ascii="方正小标宋简体" w:eastAsia="方正小标宋简体" w:hAnsiTheme="majorEastAsia" w:cstheme="majorEastAsia"/>
          <w:bCs/>
          <w:snapToGrid/>
          <w:kern w:val="2"/>
          <w:sz w:val="44"/>
          <w:szCs w:val="44"/>
        </w:rPr>
        <w:t>202</w:t>
      </w:r>
      <w:r>
        <w:rPr>
          <w:rFonts w:hint="eastAsia" w:ascii="方正小标宋简体" w:eastAsia="方正小标宋简体" w:hAnsiTheme="majorEastAsia" w:cstheme="majorEastAsia"/>
          <w:bCs/>
          <w:snapToGrid/>
          <w:kern w:val="2"/>
          <w:sz w:val="44"/>
          <w:szCs w:val="44"/>
          <w:lang w:val="en-US" w:eastAsia="zh-CN"/>
        </w:rPr>
        <w:t>5</w:t>
      </w:r>
      <w:r>
        <w:rPr>
          <w:rFonts w:hint="eastAsia" w:ascii="方正小标宋简体" w:eastAsia="方正小标宋简体" w:hAnsiTheme="majorEastAsia" w:cstheme="majorEastAsia"/>
          <w:bCs/>
          <w:snapToGrid/>
          <w:kern w:val="2"/>
          <w:sz w:val="44"/>
          <w:szCs w:val="44"/>
        </w:rPr>
        <w:t>年政府信息公开工作年报</w:t>
      </w:r>
    </w:p>
    <w:p w14:paraId="703B59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40" w:lineRule="exact"/>
        <w:ind w:firstLine="632" w:firstLineChars="200"/>
        <w:jc w:val="both"/>
        <w:outlineLvl w:val="1"/>
        <w:rPr>
          <w:rFonts w:ascii="黑体" w:hAnsi="黑体" w:eastAsia="黑体" w:cs="黑体"/>
          <w:spacing w:val="-2"/>
          <w:sz w:val="32"/>
          <w:szCs w:val="32"/>
          <w14:textOutline w14:w="4356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</w:pPr>
    </w:p>
    <w:p w14:paraId="66EE1D53">
      <w:pPr>
        <w:spacing w:line="620" w:lineRule="exact"/>
        <w:ind w:firstLine="640" w:firstLineChars="200"/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根据《中华人民共和国政府信息公开条例》（国务院令711号）（以下简称条例）规定和《中华人民共和国政府信息公开工作年度报告格式》（国办公开办函〔2021〕30号）要求，现将</w:t>
      </w: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下李乡</w:t>
      </w:r>
      <w:bookmarkStart w:id="0" w:name="_GoBack"/>
      <w:bookmarkEnd w:id="0"/>
      <w:r>
        <w:rPr>
          <w:rFonts w:hint="eastAsia" w:ascii="仿宋" w:hAnsi="仿宋" w:eastAsia="仿宋" w:cs="仿宋"/>
          <w:kern w:val="0"/>
          <w:sz w:val="32"/>
          <w:szCs w:val="32"/>
        </w:rPr>
        <w:t>202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kern w:val="0"/>
          <w:sz w:val="32"/>
          <w:szCs w:val="32"/>
        </w:rPr>
        <w:t>年政府信息公开年度报告向社会公布。本报告由总体情况、主动公开政府信息情况、收到和处理政府信息公开申请情况等六个部分组成。本报告中所列数据的统计期限自202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kern w:val="0"/>
          <w:sz w:val="32"/>
          <w:szCs w:val="32"/>
        </w:rPr>
        <w:t>年1月1日至202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kern w:val="0"/>
          <w:sz w:val="32"/>
          <w:szCs w:val="32"/>
        </w:rPr>
        <w:t>年12月31日止。</w:t>
      </w:r>
    </w:p>
    <w:p w14:paraId="7E6092E8">
      <w:pPr>
        <w:spacing w:line="620" w:lineRule="exact"/>
        <w:ind w:firstLine="643" w:firstLineChars="200"/>
        <w:rPr>
          <w:rFonts w:hint="eastAsia" w:ascii="黑体" w:hAnsi="黑体" w:eastAsia="黑体" w:cs="黑体"/>
          <w:b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/>
          <w:sz w:val="32"/>
          <w:szCs w:val="32"/>
          <w:lang w:eastAsia="zh-CN"/>
        </w:rPr>
        <w:t>一、总体情况</w:t>
      </w:r>
    </w:p>
    <w:p w14:paraId="48012B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20" w:firstLineChars="200"/>
        <w:textAlignment w:val="auto"/>
        <w:rPr>
          <w:rFonts w:hint="eastAsia" w:eastAsia="宋体"/>
          <w:lang w:val="en-US" w:eastAsia="zh-CN"/>
        </w:rPr>
      </w:pPr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kern w:val="0"/>
          <w:sz w:val="31"/>
          <w:szCs w:val="31"/>
          <w:shd w:val="clear" w:color="auto" w:fill="FFFFFF"/>
          <w:lang w:val="en-US" w:eastAsia="zh-CN" w:bidi="ar"/>
        </w:rPr>
        <w:t>2025年，我乡严格落实《政府信息公开条例》及上级部署，以建设服务型政府为目标，将政务公开融入基层治理全过程。健全信息公开工作机制，完善信息发布审核、保密审查等制度，严把内容质量关。结合下李乡工作实际，</w:t>
      </w:r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1"/>
          <w:szCs w:val="31"/>
          <w:shd w:val="clear" w:color="auto" w:fill="FFFFFF"/>
        </w:rPr>
        <w:t>用好村公示栏的同时积极推广微信、美篇等电子平台的信息发布</w:t>
      </w:r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kern w:val="0"/>
          <w:sz w:val="31"/>
          <w:szCs w:val="31"/>
          <w:shd w:val="clear" w:color="auto" w:fill="FFFFFF"/>
          <w:lang w:val="en-US" w:eastAsia="zh-CN" w:bidi="ar"/>
        </w:rPr>
        <w:t>，进一步推进基层政务公开标准化规范化，拓展深化公开领域，提高公开质量和实效，提升基层政务公开和政务服务水平，持续推动打造法治政府、廉洁政府和服务型政府，有效保障群众知情权，提升政府工作透明度和公信力，为基层发展营造良好政务环境。</w:t>
      </w:r>
    </w:p>
    <w:p w14:paraId="44EE3911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420"/>
        <w:jc w:val="both"/>
        <w:textAlignment w:val="auto"/>
        <w:rPr>
          <w:rFonts w:hint="eastAsia" w:ascii="黑体" w:hAnsi="黑体" w:eastAsia="黑体" w:cs="黑体"/>
          <w:b w:val="0"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</w:rPr>
      </w:pPr>
    </w:p>
    <w:p w14:paraId="72C21F29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420"/>
        <w:jc w:val="both"/>
        <w:textAlignment w:val="auto"/>
        <w:rPr>
          <w:rFonts w:hint="eastAsia" w:ascii="黑体" w:hAnsi="黑体" w:eastAsia="黑体" w:cs="黑体"/>
          <w:b w:val="0"/>
          <w:bCs/>
          <w:i w:val="0"/>
          <w:caps w:val="0"/>
          <w:color w:val="000000"/>
          <w:spacing w:val="0"/>
          <w:sz w:val="24"/>
          <w:szCs w:val="24"/>
          <w:shd w:val="clear" w:color="auto" w:fill="FFFFFF"/>
        </w:rPr>
      </w:pPr>
      <w:r>
        <w:rPr>
          <w:rFonts w:hint="eastAsia" w:ascii="黑体" w:hAnsi="黑体" w:eastAsia="黑体" w:cs="黑体"/>
          <w:b w:val="0"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二、主动公开政府信息情况</w:t>
      </w:r>
    </w:p>
    <w:tbl>
      <w:tblPr>
        <w:tblStyle w:val="7"/>
        <w:tblW w:w="934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335"/>
        <w:gridCol w:w="2335"/>
        <w:gridCol w:w="2335"/>
        <w:gridCol w:w="2335"/>
      </w:tblGrid>
      <w:tr w14:paraId="15ECC9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934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left w:w="57" w:type="dxa"/>
              <w:right w:w="57" w:type="dxa"/>
            </w:tcMar>
            <w:vAlign w:val="center"/>
          </w:tcPr>
          <w:p w14:paraId="02170D5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第二十条第（一）项</w:t>
            </w:r>
          </w:p>
        </w:tc>
      </w:tr>
      <w:tr w14:paraId="034CED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23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4200F1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23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57CCC0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本年制发件数</w:t>
            </w:r>
          </w:p>
        </w:tc>
        <w:tc>
          <w:tcPr>
            <w:tcW w:w="23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59223A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本年废止件数</w:t>
            </w:r>
          </w:p>
        </w:tc>
        <w:tc>
          <w:tcPr>
            <w:tcW w:w="23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0C665E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现行有效件数</w:t>
            </w:r>
          </w:p>
        </w:tc>
      </w:tr>
      <w:tr w14:paraId="299126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23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2D4662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规章</w:t>
            </w:r>
          </w:p>
        </w:tc>
        <w:tc>
          <w:tcPr>
            <w:tcW w:w="23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4446E1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23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7D1068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23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BDF86E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</w:tr>
      <w:tr w14:paraId="3C9FCB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23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2A4607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行政规范性文件</w:t>
            </w:r>
          </w:p>
        </w:tc>
        <w:tc>
          <w:tcPr>
            <w:tcW w:w="23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7F2FD8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23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E9B768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23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055001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</w:tr>
      <w:tr w14:paraId="00BA05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93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left w:w="57" w:type="dxa"/>
              <w:right w:w="57" w:type="dxa"/>
            </w:tcMar>
            <w:vAlign w:val="center"/>
          </w:tcPr>
          <w:p w14:paraId="19C767E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第二十条第（五）项</w:t>
            </w:r>
          </w:p>
        </w:tc>
      </w:tr>
      <w:tr w14:paraId="356721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23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C44C70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70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96B813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本年处理决定数量</w:t>
            </w:r>
          </w:p>
        </w:tc>
      </w:tr>
      <w:tr w14:paraId="7A9BEA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23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EC02DE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行政许可</w:t>
            </w:r>
          </w:p>
        </w:tc>
        <w:tc>
          <w:tcPr>
            <w:tcW w:w="70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9B5C2E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</w:tr>
      <w:tr w14:paraId="3500A4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93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left w:w="57" w:type="dxa"/>
              <w:right w:w="57" w:type="dxa"/>
            </w:tcMar>
            <w:vAlign w:val="center"/>
          </w:tcPr>
          <w:p w14:paraId="441A3BD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第二十条第（六）项</w:t>
            </w:r>
          </w:p>
        </w:tc>
      </w:tr>
      <w:tr w14:paraId="7A789A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23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6015C6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7005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24A433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本年处理决定数量</w:t>
            </w:r>
          </w:p>
        </w:tc>
      </w:tr>
      <w:tr w14:paraId="5BC803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23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D95E25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行政处罚</w:t>
            </w:r>
          </w:p>
        </w:tc>
        <w:tc>
          <w:tcPr>
            <w:tcW w:w="70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E144A1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21B33D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23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D045CF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行政强制</w:t>
            </w:r>
          </w:p>
        </w:tc>
        <w:tc>
          <w:tcPr>
            <w:tcW w:w="70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7B93AA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70E6FA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93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left w:w="57" w:type="dxa"/>
              <w:right w:w="57" w:type="dxa"/>
            </w:tcMar>
            <w:vAlign w:val="center"/>
          </w:tcPr>
          <w:p w14:paraId="5D49E2A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第二十条第（八）项</w:t>
            </w:r>
          </w:p>
        </w:tc>
      </w:tr>
      <w:tr w14:paraId="13476B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23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591D0F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7005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1939FC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本年收费金额（单位：万元）</w:t>
            </w:r>
          </w:p>
        </w:tc>
      </w:tr>
      <w:tr w14:paraId="0EC812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1" w:hRule="atLeast"/>
          <w:jc w:val="center"/>
        </w:trPr>
        <w:tc>
          <w:tcPr>
            <w:tcW w:w="23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F8DF8D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行政事业性收费</w:t>
            </w:r>
          </w:p>
        </w:tc>
        <w:tc>
          <w:tcPr>
            <w:tcW w:w="7005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29022A4">
            <w:pPr>
              <w:jc w:val="center"/>
              <w:rPr>
                <w:rFonts w:hint="default" w:ascii="宋体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eastAsia="宋体"/>
                <w:color w:val="000000"/>
                <w:sz w:val="24"/>
                <w:szCs w:val="24"/>
                <w:lang w:val="en-US" w:eastAsia="zh-CN"/>
              </w:rPr>
              <w:t>0</w:t>
            </w:r>
          </w:p>
        </w:tc>
      </w:tr>
    </w:tbl>
    <w:p w14:paraId="50E6B81D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right="0"/>
        <w:jc w:val="both"/>
        <w:textAlignment w:val="auto"/>
        <w:rPr>
          <w:rFonts w:hint="eastAsia" w:ascii="黑体" w:hAnsi="黑体" w:eastAsia="黑体" w:cs="黑体"/>
          <w:b w:val="0"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</w:rPr>
      </w:pPr>
    </w:p>
    <w:p w14:paraId="57BCA588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420"/>
        <w:jc w:val="both"/>
        <w:textAlignment w:val="auto"/>
        <w:rPr>
          <w:rFonts w:hint="eastAsia" w:ascii="黑体" w:hAnsi="黑体" w:eastAsia="黑体" w:cs="黑体"/>
          <w:b w:val="0"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</w:rPr>
      </w:pPr>
      <w:r>
        <w:rPr>
          <w:rFonts w:hint="eastAsia" w:ascii="黑体" w:hAnsi="黑体" w:eastAsia="黑体" w:cs="黑体"/>
          <w:b w:val="0"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三、收到和处理政府信息公开申请情况</w:t>
      </w:r>
    </w:p>
    <w:tbl>
      <w:tblPr>
        <w:tblStyle w:val="7"/>
        <w:tblW w:w="9546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75"/>
        <w:gridCol w:w="953"/>
        <w:gridCol w:w="3259"/>
        <w:gridCol w:w="695"/>
        <w:gridCol w:w="695"/>
        <w:gridCol w:w="695"/>
        <w:gridCol w:w="695"/>
        <w:gridCol w:w="695"/>
        <w:gridCol w:w="584"/>
        <w:gridCol w:w="500"/>
      </w:tblGrid>
      <w:tr w14:paraId="399CACEE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4987" w:type="dxa"/>
            <w:gridSpan w:val="3"/>
            <w:vMerge w:val="restart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0F2B7A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  <w:kern w:val="0"/>
                <w:sz w:val="20"/>
                <w:szCs w:val="20"/>
                <w:lang w:val="en-US" w:eastAsia="zh-CN" w:bidi="ar"/>
              </w:rPr>
              <w:t>（本列数据的勾稽关系为：第一项加第二项之和，等于第三项加第四项之和）</w:t>
            </w:r>
          </w:p>
        </w:tc>
        <w:tc>
          <w:tcPr>
            <w:tcW w:w="4559" w:type="dxa"/>
            <w:gridSpan w:val="7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FB9B5D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申请人情况</w:t>
            </w:r>
          </w:p>
        </w:tc>
      </w:tr>
      <w:tr w14:paraId="6D75666D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4987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155D413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695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D2428F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自然人</w:t>
            </w:r>
          </w:p>
        </w:tc>
        <w:tc>
          <w:tcPr>
            <w:tcW w:w="3364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21C8B3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法人或其他组织</w:t>
            </w:r>
          </w:p>
        </w:tc>
        <w:tc>
          <w:tcPr>
            <w:tcW w:w="500" w:type="dxa"/>
            <w:vMerge w:val="restart"/>
            <w:tcBorders>
              <w:top w:val="single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7A2CD1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</w:tr>
      <w:tr w14:paraId="490803CB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7" w:hRule="atLeast"/>
          <w:jc w:val="center"/>
        </w:trPr>
        <w:tc>
          <w:tcPr>
            <w:tcW w:w="4987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80F9152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695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21900D3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DF581B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商业</w:t>
            </w:r>
          </w:p>
          <w:p w14:paraId="16F390D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企业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5AC006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科研</w:t>
            </w:r>
          </w:p>
          <w:p w14:paraId="3F54C27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机构</w:t>
            </w:r>
          </w:p>
        </w:tc>
        <w:tc>
          <w:tcPr>
            <w:tcW w:w="69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562674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社会公益组织</w:t>
            </w:r>
          </w:p>
        </w:tc>
        <w:tc>
          <w:tcPr>
            <w:tcW w:w="69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4D08D0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法律服务机构</w:t>
            </w:r>
          </w:p>
        </w:tc>
        <w:tc>
          <w:tcPr>
            <w:tcW w:w="58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8A4501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其他</w:t>
            </w:r>
          </w:p>
        </w:tc>
        <w:tc>
          <w:tcPr>
            <w:tcW w:w="500" w:type="dxa"/>
            <w:vMerge w:val="continue"/>
            <w:tcBorders>
              <w:top w:val="single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9BBBE0E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</w:tr>
      <w:tr w14:paraId="60AC948D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7" w:hRule="atLeast"/>
          <w:jc w:val="center"/>
        </w:trPr>
        <w:tc>
          <w:tcPr>
            <w:tcW w:w="4987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29AA8F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一、本年新收政府信息公开申请数量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C83CD4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eastAsia="宋体"/>
                <w:color w:val="000000"/>
                <w:lang w:val="en-US" w:eastAsia="zh-CN"/>
              </w:rPr>
            </w:pPr>
            <w:r>
              <w:rPr>
                <w:rFonts w:hint="eastAsia" w:eastAsia="宋体"/>
                <w:color w:val="000000"/>
                <w:lang w:val="en-US" w:eastAsia="zh-CN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5F33A9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64131E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FDFC0F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48CD8A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4BBAF2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04708A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 w:eastAsia="宋体"/>
                <w:color w:val="000000"/>
                <w:lang w:val="en-US" w:eastAsia="zh-CN"/>
              </w:rPr>
              <w:t>0</w:t>
            </w:r>
          </w:p>
        </w:tc>
      </w:tr>
      <w:tr w14:paraId="04072EB4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4987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10829B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二、上年结转政府信息公开申请数量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D87E30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8D1426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351448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825A2D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0E9CC1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872562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96F1CE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  <w:t>0</w:t>
            </w:r>
          </w:p>
        </w:tc>
      </w:tr>
      <w:tr w14:paraId="763C0E47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restart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BE0B16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三、本年度办理结果</w:t>
            </w:r>
          </w:p>
        </w:tc>
        <w:tc>
          <w:tcPr>
            <w:tcW w:w="421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6A8A75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（一）予以公开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DABA72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88C222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67F0CA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F42D73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C9B3AA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4EC2AF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CCF99B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0445EDAF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9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C8A285E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421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9BA122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（二）部分公开</w:t>
            </w: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20"/>
                <w:lang w:val="en-US" w:eastAsia="zh-CN" w:bidi="ar"/>
              </w:rPr>
              <w:t>（区分处理的，只计这一情形，不计其他情形）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E85949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6084D0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57C73D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3BA4D8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E09205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08F505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8B8C7A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236AF3FE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931CAA8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423AB4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（三）不予公开</w:t>
            </w: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45F7C5F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1.属于国家秘密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03F8FF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561BA5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5FC2EB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6C772B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E26C98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ED5FEF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AC3DA8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13DBA27B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63C2E26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A8FC4DB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3DA45BA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2.其他法律行政法规禁止公开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DB5950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85C2F7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CE9693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7A9D8C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549B9A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45014B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BDF62C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3C8D7CED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361210C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3E0BB7B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7F11D19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3.危及“三安全一稳定”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4C84AF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5C5137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BC8D3D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FE772F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2BB3BE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DB02BE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E4173D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643FEADD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33A49E8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4935D26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0C0E06D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4.保护第三方合法权益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041F2C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45BAAF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EF22D1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6771E7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434A9A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8CBB27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4A39D9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59DB180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39D76D4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4BD19B0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2312307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5.属于三类内部事务信息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35CF03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42FD78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B4AB37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D8E0C4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085307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C99C8D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35AE1A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756CC16F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9117DD4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84495A8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7E9C658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6.属于四类过程性信息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4A1808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77ED35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11F5A2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436D6D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6205D3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1FA1A9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18AA87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16C47C90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FC258F3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B922F97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05FDD14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7.属于行政执法案卷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947F3A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9B5D0D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BE2827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5E5A8B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C5D527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160534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2DE389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03D06352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EA6B82E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CDEB37B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006125C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8.属于行政查询事项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39A075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753E99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668205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6088EE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A8F0BE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D010AA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E4F0AF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50B1FE84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DD40005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64603D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（四）无法提供</w:t>
            </w: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56095EF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1.本机关不掌握相关政府信息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A38DE8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40A4C8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1E6EA2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BF131E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52D800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4887A5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8CF710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68C24F97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EDF49F6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9AE2003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4BF4393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2.没有现成信息需要另行制作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08DC6F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61ABE1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E532B3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9966A1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00FAAD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A31C1A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C8EDA2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59A93991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05725E3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B042525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4EFDDD3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3.补正后申请内容仍不明确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CB2C1E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ABBAB2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BB99FB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A0BEEC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5F9208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3CD7E5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B8FB03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32C4DBF0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2087290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D4BF17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（五）不予处理</w:t>
            </w: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089E4F7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1.信访举报投诉类申请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5275FF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F5D95F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A67CF9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682CCD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EBDFF0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C41D8D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ABBD9C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28EF13B4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3EB60D9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9C9CFAB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14B7588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2.重复申请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A5A168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244CF7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1A5F0C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2A2735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BA641A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99B77C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771A2E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6B782087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F0BD9C5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FEEEB61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63CBA1C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3.要求提供公开出版物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DA6223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BCAA56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B440CE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B6F8B1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A0C17C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37FC80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D4424F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65F23B55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31EED9D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392562A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0136C0D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4.无正当理由大量反复申请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B592EE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488DA2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260F81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D95E2B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786F30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966C6C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0BB7DF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7A9AE271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7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F54CFA6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ABD608E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33EA95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5.要求行政机关确认或重新出具已获取信息</w:t>
            </w:r>
          </w:p>
        </w:tc>
        <w:tc>
          <w:tcPr>
            <w:tcW w:w="695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F5999E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25F865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85446C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46AF98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87A694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3EA0E2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843CB3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324FD922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7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34FE793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restart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27BBEE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（六）其他处理</w:t>
            </w: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B41D43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1.申请人无正当理由逾期不补正、行政机关不再处理其政府信息公开申请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7FD9AF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D43F8D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154C9C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501927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20E797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18C45D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C5D4A2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6FF7BDFC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7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A5AA672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A028E57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EDCFCD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2.申请人逾期未按收费通知要求缴纳费用、行政机关不再处理其政府信息公开申请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9AD294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9F79EC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DD0991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0E7769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9764A9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7926DA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FE94E0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06D1D89F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9A7D680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49D69C8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AB6555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3.其他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89C5E7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AE8221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8D855D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DD18AA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7855FE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6C8E27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77E293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5A23C7E4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86F3BCD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421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E8B64C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（七）总计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01F30F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FE8C08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7111D2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8610A9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C7193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CC0B26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A1B314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7C680952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6" w:hRule="atLeast"/>
          <w:jc w:val="center"/>
        </w:trPr>
        <w:tc>
          <w:tcPr>
            <w:tcW w:w="4987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DEC758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四、结转下年度继续办理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BAF274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2523D3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EDC7B1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727B18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5DF8BB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D31D27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BBD745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</w:tbl>
    <w:p w14:paraId="449DE6A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/>
        <w:ind w:left="0" w:right="0" w:firstLine="0"/>
        <w:jc w:val="both"/>
        <w:rPr>
          <w:rFonts w:hint="eastAsia" w:ascii="宋体" w:hAnsi="宋体" w:eastAsia="宋体" w:cs="宋体"/>
          <w:i w:val="0"/>
          <w:caps w:val="0"/>
          <w:color w:val="000000"/>
          <w:spacing w:val="0"/>
          <w:sz w:val="24"/>
          <w:szCs w:val="24"/>
        </w:rPr>
      </w:pPr>
    </w:p>
    <w:p w14:paraId="1AE38B2D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420"/>
        <w:jc w:val="both"/>
        <w:textAlignment w:val="auto"/>
        <w:rPr>
          <w:rFonts w:hint="eastAsia" w:ascii="黑体" w:hAnsi="黑体" w:eastAsia="黑体" w:cs="黑体"/>
          <w:b w:val="0"/>
          <w:bCs/>
          <w:i w:val="0"/>
          <w:caps w:val="0"/>
          <w:color w:val="000000"/>
          <w:spacing w:val="0"/>
          <w:sz w:val="24"/>
          <w:szCs w:val="24"/>
          <w:shd w:val="clear" w:color="auto" w:fill="FFFFFF"/>
        </w:rPr>
      </w:pPr>
      <w:r>
        <w:rPr>
          <w:rFonts w:hint="eastAsia" w:ascii="黑体" w:hAnsi="黑体" w:eastAsia="黑体" w:cs="黑体"/>
          <w:b w:val="0"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四、政府信息公开行政复议、行政诉讼情况</w:t>
      </w:r>
    </w:p>
    <w:tbl>
      <w:tblPr>
        <w:tblStyle w:val="7"/>
        <w:tblW w:w="9799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52"/>
        <w:gridCol w:w="652"/>
        <w:gridCol w:w="652"/>
        <w:gridCol w:w="652"/>
        <w:gridCol w:w="654"/>
        <w:gridCol w:w="652"/>
        <w:gridCol w:w="652"/>
        <w:gridCol w:w="653"/>
        <w:gridCol w:w="653"/>
        <w:gridCol w:w="655"/>
        <w:gridCol w:w="654"/>
        <w:gridCol w:w="654"/>
        <w:gridCol w:w="654"/>
        <w:gridCol w:w="654"/>
        <w:gridCol w:w="656"/>
      </w:tblGrid>
      <w:tr w14:paraId="541CBA04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7" w:hRule="atLeast"/>
          <w:jc w:val="center"/>
        </w:trPr>
        <w:tc>
          <w:tcPr>
            <w:tcW w:w="3262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7BDA3E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行政复议</w:t>
            </w:r>
          </w:p>
        </w:tc>
        <w:tc>
          <w:tcPr>
            <w:tcW w:w="6537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97C4F7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行政诉讼</w:t>
            </w:r>
          </w:p>
        </w:tc>
      </w:tr>
      <w:tr w14:paraId="54947DB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7" w:hRule="atLeast"/>
          <w:jc w:val="center"/>
        </w:trPr>
        <w:tc>
          <w:tcPr>
            <w:tcW w:w="652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F3AFC4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结果维持</w:t>
            </w:r>
          </w:p>
        </w:tc>
        <w:tc>
          <w:tcPr>
            <w:tcW w:w="652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DA0CCD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 w14:paraId="3FB6EEF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52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2E965B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其他</w:t>
            </w:r>
          </w:p>
          <w:p w14:paraId="69B5234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52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F311BF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尚未</w:t>
            </w:r>
          </w:p>
          <w:p w14:paraId="396A075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654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CF553F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3265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19AFCA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未经复议直接起诉</w:t>
            </w:r>
          </w:p>
        </w:tc>
        <w:tc>
          <w:tcPr>
            <w:tcW w:w="3272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A329B4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复议后起诉</w:t>
            </w:r>
          </w:p>
        </w:tc>
      </w:tr>
      <w:tr w14:paraId="71B45ED7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3" w:hRule="atLeast"/>
          <w:jc w:val="center"/>
        </w:trPr>
        <w:tc>
          <w:tcPr>
            <w:tcW w:w="652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7C16407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652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AAA5F59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652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AC1061F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652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9D14664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654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DF9EA46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6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229C4C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 w14:paraId="3BD2B61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维持</w:t>
            </w:r>
          </w:p>
        </w:tc>
        <w:tc>
          <w:tcPr>
            <w:tcW w:w="6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1A0DD1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 w14:paraId="7396914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5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8A9AB3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其他</w:t>
            </w:r>
          </w:p>
          <w:p w14:paraId="6C0463C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5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C23F4F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尚未</w:t>
            </w:r>
          </w:p>
          <w:p w14:paraId="78F360E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6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F0FEF8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65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9CCDD1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 w14:paraId="63CE747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维持</w:t>
            </w:r>
          </w:p>
        </w:tc>
        <w:tc>
          <w:tcPr>
            <w:tcW w:w="65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CA8495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 w14:paraId="03455FB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5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C0BB13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其他</w:t>
            </w:r>
          </w:p>
          <w:p w14:paraId="110A05E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5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8A3DBC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尚未</w:t>
            </w:r>
          </w:p>
          <w:p w14:paraId="58BF70E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65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94C76C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</w:tr>
      <w:tr w14:paraId="6F9AD1C2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4" w:hRule="atLeast"/>
          <w:jc w:val="center"/>
        </w:trPr>
        <w:tc>
          <w:tcPr>
            <w:tcW w:w="6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F31A82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eastAsia="宋体"/>
                <w:color w:val="000000"/>
                <w:lang w:val="en-US" w:eastAsia="zh-CN"/>
              </w:rPr>
            </w:pPr>
            <w:r>
              <w:rPr>
                <w:rFonts w:hint="eastAsia" w:eastAsia="宋体"/>
                <w:color w:val="000000"/>
                <w:lang w:val="en-US" w:eastAsia="zh-CN"/>
              </w:rPr>
              <w:t>0</w:t>
            </w:r>
          </w:p>
        </w:tc>
        <w:tc>
          <w:tcPr>
            <w:tcW w:w="6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27DB22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CAAF76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9A49DB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406F2F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5AFDB8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C913C8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008059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54F43D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81FE23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E65F7B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D131D5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3D86DE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C75807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F82384F">
            <w:pPr>
              <w:jc w:val="center"/>
              <w:rPr>
                <w:rFonts w:hint="eastAsia" w:ascii="宋体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eastAsia="宋体"/>
                <w:color w:val="000000"/>
                <w:sz w:val="24"/>
                <w:szCs w:val="24"/>
                <w:lang w:val="en-US" w:eastAsia="zh-CN"/>
              </w:rPr>
              <w:t>0</w:t>
            </w:r>
          </w:p>
        </w:tc>
      </w:tr>
    </w:tbl>
    <w:p w14:paraId="7AB8DE4C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spacing w:line="600" w:lineRule="exact"/>
        <w:ind w:firstLine="640" w:firstLineChars="200"/>
        <w:jc w:val="both"/>
        <w:outlineLvl w:val="1"/>
        <w:rPr>
          <w:rFonts w:hint="eastAsia" w:ascii="黑体" w:hAnsi="黑体" w:eastAsia="黑体" w:cs="黑体"/>
          <w:snapToGrid/>
          <w:kern w:val="2"/>
          <w:sz w:val="32"/>
          <w:szCs w:val="32"/>
        </w:rPr>
      </w:pPr>
      <w:r>
        <w:rPr>
          <w:rFonts w:hint="eastAsia" w:ascii="黑体" w:hAnsi="黑体" w:eastAsia="黑体" w:cs="黑体"/>
          <w:snapToGrid/>
          <w:kern w:val="2"/>
          <w:sz w:val="32"/>
          <w:szCs w:val="32"/>
        </w:rPr>
        <w:t>存在的主要问题及改进情况</w:t>
      </w:r>
    </w:p>
    <w:p w14:paraId="53C494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20" w:firstLineChars="200"/>
        <w:textAlignment w:val="auto"/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kern w:val="0"/>
          <w:sz w:val="31"/>
          <w:szCs w:val="31"/>
          <w:shd w:val="clear" w:color="auto" w:fill="FFFFFF"/>
          <w:lang w:val="en-US" w:eastAsia="zh-CN" w:bidi="ar"/>
        </w:rPr>
      </w:pPr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kern w:val="0"/>
          <w:sz w:val="31"/>
          <w:szCs w:val="31"/>
          <w:shd w:val="clear" w:color="auto" w:fill="FFFFFF"/>
          <w:lang w:val="en-US" w:eastAsia="zh-CN" w:bidi="ar"/>
        </w:rPr>
        <w:t>（一）主要问题</w:t>
      </w:r>
    </w:p>
    <w:p w14:paraId="6D89B5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20" w:firstLineChars="200"/>
        <w:textAlignment w:val="auto"/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kern w:val="0"/>
          <w:sz w:val="31"/>
          <w:szCs w:val="31"/>
          <w:shd w:val="clear" w:color="auto" w:fill="FFFFFF"/>
          <w:lang w:val="en-US" w:eastAsia="zh-CN" w:bidi="ar"/>
        </w:rPr>
      </w:pPr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kern w:val="0"/>
          <w:sz w:val="31"/>
          <w:szCs w:val="31"/>
          <w:shd w:val="clear" w:color="auto" w:fill="FFFFFF"/>
          <w:lang w:val="en-US" w:eastAsia="zh-CN" w:bidi="ar"/>
        </w:rPr>
        <w:t>一是公开内容不够丰富全面、质量还需进一步提高。二是政府信息公开形式单一，有待加强宣传推广。政务信息公开渠道、途径、方式和范围还需进一步拓宽，信息公开的广度和深度还不够。</w:t>
      </w:r>
    </w:p>
    <w:p w14:paraId="0F176A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20" w:firstLineChars="200"/>
        <w:textAlignment w:val="auto"/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kern w:val="0"/>
          <w:sz w:val="31"/>
          <w:szCs w:val="31"/>
          <w:shd w:val="clear" w:color="auto" w:fill="FFFFFF"/>
          <w:lang w:val="en-US" w:eastAsia="zh-CN" w:bidi="ar"/>
        </w:rPr>
      </w:pPr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kern w:val="0"/>
          <w:sz w:val="31"/>
          <w:szCs w:val="31"/>
          <w:shd w:val="clear" w:color="auto" w:fill="FFFFFF"/>
          <w:lang w:val="en-US" w:eastAsia="zh-CN" w:bidi="ar"/>
        </w:rPr>
        <w:t>（二）改进措施</w:t>
      </w:r>
    </w:p>
    <w:p w14:paraId="38A214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20" w:firstLineChars="200"/>
        <w:textAlignment w:val="auto"/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kern w:val="0"/>
          <w:sz w:val="31"/>
          <w:szCs w:val="31"/>
          <w:shd w:val="clear" w:color="auto" w:fill="FFFFFF"/>
          <w:lang w:val="en-US" w:eastAsia="zh-CN" w:bidi="ar"/>
        </w:rPr>
      </w:pPr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kern w:val="0"/>
          <w:sz w:val="31"/>
          <w:szCs w:val="31"/>
          <w:shd w:val="clear" w:color="auto" w:fill="FFFFFF"/>
          <w:lang w:val="en-US" w:eastAsia="zh-CN" w:bidi="ar"/>
        </w:rPr>
        <w:t>在接下来的工作中，一是加大信息公开力度，对原有的政府信息公开目录进行补充完善，保证公开信息的完整性和准确性，依法全面公开政府工作各类信息，不断提升公开信息质量。二是加强公开平台建设。加强微信、微博、抖音、客户端建设，切实发挥好信息公开平台的桥梁作用,更好地满足公众对政府信息的需求。进一步抓好信息公开的探索创新，积极适应新形势对信息公开工作的新要求，不断把我乡信息公开工作推向深入。</w:t>
      </w:r>
    </w:p>
    <w:p w14:paraId="0701E6FF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64" w:firstLineChars="200"/>
        <w:jc w:val="left"/>
        <w:textAlignment w:val="auto"/>
        <w:rPr>
          <w:rFonts w:hint="eastAsia" w:ascii="黑体" w:hAnsi="黑体" w:eastAsia="黑体" w:cs="黑体"/>
          <w:b w:val="0"/>
          <w:bCs/>
          <w:spacing w:val="6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/>
          <w:spacing w:val="6"/>
          <w:sz w:val="32"/>
          <w:szCs w:val="32"/>
          <w:lang w:eastAsia="zh-CN"/>
        </w:rPr>
        <w:t>六、其他需要报告的事项</w:t>
      </w:r>
    </w:p>
    <w:p w14:paraId="5E761CCD">
      <w:pPr>
        <w:keepNext w:val="0"/>
        <w:keepLines w:val="0"/>
        <w:pageBreakBefore w:val="0"/>
        <w:wordWrap/>
        <w:overflowPunct/>
        <w:topLinePunct w:val="0"/>
        <w:bidi w:val="0"/>
        <w:spacing w:line="600" w:lineRule="exact"/>
        <w:ind w:firstLine="640" w:firstLineChars="200"/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  <w:t>本年度未收取信息公开处理费。</w:t>
      </w:r>
      <w:r>
        <w:rPr>
          <w:rFonts w:hint="eastAsia" w:ascii="仿宋_GB2312" w:hAnsi="仿宋" w:eastAsia="仿宋_GB2312" w:cs="仿宋"/>
          <w:spacing w:val="13"/>
          <w:w w:val="101"/>
          <w:sz w:val="32"/>
          <w:szCs w:val="32"/>
        </w:rPr>
        <w:t xml:space="preserve">   </w:t>
      </w:r>
      <w:r>
        <w:rPr>
          <w:rFonts w:hint="eastAsia" w:ascii="仿宋" w:hAnsi="仿宋" w:eastAsia="仿宋" w:cs="仿宋"/>
          <w:kern w:val="0"/>
          <w:sz w:val="32"/>
          <w:szCs w:val="32"/>
        </w:rPr>
        <w:t xml:space="preserve"> </w:t>
      </w:r>
    </w:p>
    <w:p w14:paraId="36A1F86A">
      <w:pPr>
        <w:keepNext w:val="0"/>
        <w:keepLines w:val="0"/>
        <w:pageBreakBefore w:val="0"/>
        <w:wordWrap w:val="0"/>
        <w:overflowPunct/>
        <w:topLinePunct w:val="0"/>
        <w:bidi w:val="0"/>
        <w:spacing w:line="600" w:lineRule="exact"/>
        <w:ind w:firstLine="640" w:firstLineChars="200"/>
        <w:jc w:val="right"/>
        <w:rPr>
          <w:rFonts w:hint="eastAsia" w:ascii="仿宋" w:hAnsi="仿宋" w:eastAsia="仿宋" w:cs="仿宋"/>
          <w:kern w:val="0"/>
          <w:sz w:val="32"/>
          <w:szCs w:val="32"/>
          <w:lang w:eastAsia="zh-CN"/>
        </w:rPr>
      </w:pPr>
    </w:p>
    <w:p w14:paraId="7CBB456E">
      <w:pPr>
        <w:keepNext w:val="0"/>
        <w:keepLines w:val="0"/>
        <w:pageBreakBefore w:val="0"/>
        <w:wordWrap w:val="0"/>
        <w:overflowPunct/>
        <w:topLinePunct w:val="0"/>
        <w:bidi w:val="0"/>
        <w:spacing w:line="600" w:lineRule="exact"/>
        <w:ind w:firstLine="640" w:firstLineChars="200"/>
        <w:jc w:val="right"/>
        <w:rPr>
          <w:rFonts w:hint="default" w:ascii="仿宋" w:hAnsi="仿宋" w:eastAsia="仿宋" w:cs="仿宋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下李乡人民政府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 xml:space="preserve">      </w:t>
      </w:r>
    </w:p>
    <w:p w14:paraId="78652D2B">
      <w:pPr>
        <w:keepNext w:val="0"/>
        <w:keepLines w:val="0"/>
        <w:pageBreakBefore w:val="0"/>
        <w:wordWrap w:val="0"/>
        <w:overflowPunct/>
        <w:topLinePunct w:val="0"/>
        <w:bidi w:val="0"/>
        <w:spacing w:line="600" w:lineRule="exact"/>
        <w:ind w:firstLine="640" w:firstLineChars="200"/>
        <w:jc w:val="right"/>
        <w:rPr>
          <w:rFonts w:hint="default" w:ascii="仿宋" w:hAnsi="仿宋" w:eastAsia="仿宋" w:cs="仿宋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202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kern w:val="0"/>
          <w:sz w:val="32"/>
          <w:szCs w:val="32"/>
        </w:rPr>
        <w:t>年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仿宋"/>
          <w:kern w:val="0"/>
          <w:sz w:val="32"/>
          <w:szCs w:val="32"/>
        </w:rPr>
        <w:t>月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kern w:val="0"/>
          <w:sz w:val="32"/>
          <w:szCs w:val="32"/>
        </w:rPr>
        <w:t>日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 xml:space="preserve">      </w:t>
      </w:r>
    </w:p>
    <w:sectPr>
      <w:headerReference r:id="rId3" w:type="default"/>
      <w:footerReference r:id="rId4" w:type="default"/>
      <w:pgSz w:w="11700" w:h="16680"/>
      <w:pgMar w:top="1701" w:right="1701" w:bottom="1701" w:left="1701" w:header="0" w:footer="1038" w:gutter="0"/>
      <w:pgNumType w:fmt="decimal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">
    <w:altName w:val="方正楷体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幼圆">
    <w:altName w:val="华文仿宋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B91834">
    <w:pPr>
      <w:spacing w:line="136" w:lineRule="exact"/>
      <w:ind w:firstLine="4880"/>
      <w:rPr>
        <w:rFonts w:ascii="幼圆" w:hAnsi="幼圆" w:eastAsia="幼圆" w:cs="幼圆"/>
        <w:sz w:val="20"/>
        <w:szCs w:val="20"/>
      </w:rPr>
    </w:pPr>
    <w:r>
      <w:rPr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3383F1E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3383F1E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6A2B2B">
    <w:pPr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FAC3797"/>
    <w:multiLevelType w:val="singleLevel"/>
    <w:tmpl w:val="DFAC3797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BjODEzODUwZWU4NzM1MWE1NzBjNTcxMjllODI1YjIifQ=="/>
  </w:docVars>
  <w:rsids>
    <w:rsidRoot w:val="5CE92545"/>
    <w:rsid w:val="001D76D3"/>
    <w:rsid w:val="003F1BD7"/>
    <w:rsid w:val="003F5DF5"/>
    <w:rsid w:val="00872F73"/>
    <w:rsid w:val="00B41972"/>
    <w:rsid w:val="00BE52FA"/>
    <w:rsid w:val="00C16614"/>
    <w:rsid w:val="00CE2EF2"/>
    <w:rsid w:val="00DD18D0"/>
    <w:rsid w:val="014940A9"/>
    <w:rsid w:val="0742121E"/>
    <w:rsid w:val="14DE6CA3"/>
    <w:rsid w:val="17EE42D3"/>
    <w:rsid w:val="20F536AE"/>
    <w:rsid w:val="21A460DD"/>
    <w:rsid w:val="26C568DA"/>
    <w:rsid w:val="272B4F83"/>
    <w:rsid w:val="27462C2A"/>
    <w:rsid w:val="2A8319E2"/>
    <w:rsid w:val="335049F8"/>
    <w:rsid w:val="34A004E3"/>
    <w:rsid w:val="398B6A85"/>
    <w:rsid w:val="3DD7639D"/>
    <w:rsid w:val="3F5F3B75"/>
    <w:rsid w:val="4045631A"/>
    <w:rsid w:val="42777BEA"/>
    <w:rsid w:val="470434FA"/>
    <w:rsid w:val="49FC2992"/>
    <w:rsid w:val="52624BDF"/>
    <w:rsid w:val="57604332"/>
    <w:rsid w:val="5CE92545"/>
    <w:rsid w:val="5DC60D53"/>
    <w:rsid w:val="65EA7CFF"/>
    <w:rsid w:val="672A38A2"/>
    <w:rsid w:val="71EF4229"/>
    <w:rsid w:val="72165710"/>
    <w:rsid w:val="72883B4F"/>
    <w:rsid w:val="73EB2AF2"/>
    <w:rsid w:val="773B9D7A"/>
    <w:rsid w:val="780D455C"/>
    <w:rsid w:val="B7590A99"/>
    <w:rsid w:val="FFB39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qFormat/>
    <w:uiPriority w:val="10"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paragraph" w:styleId="3">
    <w:name w:val="Body Text"/>
    <w:basedOn w:val="1"/>
    <w:qFormat/>
    <w:uiPriority w:val="0"/>
    <w:rPr>
      <w:rFonts w:ascii="Calibri" w:hAnsi="Calibri" w:eastAsia="宋体" w:cs="Times New Roman"/>
    </w:rPr>
  </w:style>
  <w:style w:type="paragraph" w:styleId="4">
    <w:name w:val="footer"/>
    <w:basedOn w:val="1"/>
    <w:link w:val="31"/>
    <w:qFormat/>
    <w:uiPriority w:val="0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5">
    <w:name w:val="header"/>
    <w:basedOn w:val="1"/>
    <w:link w:val="3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Autospacing="1" w:afterAutospacing="1"/>
    </w:pPr>
    <w:rPr>
      <w:rFonts w:cs="Times New Roman"/>
      <w:sz w:val="24"/>
    </w:r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FollowedHyperlink"/>
    <w:basedOn w:val="8"/>
    <w:qFormat/>
    <w:uiPriority w:val="0"/>
    <w:rPr>
      <w:color w:val="555555"/>
      <w:u w:val="none"/>
    </w:rPr>
  </w:style>
  <w:style w:type="character" w:styleId="11">
    <w:name w:val="Hyperlink"/>
    <w:basedOn w:val="8"/>
    <w:qFormat/>
    <w:uiPriority w:val="0"/>
    <w:rPr>
      <w:color w:val="555555"/>
      <w:u w:val="none"/>
    </w:rPr>
  </w:style>
  <w:style w:type="paragraph" w:customStyle="1" w:styleId="12">
    <w:name w:val="No Spacing_ad81b47b-6779-4c76-b471-79375858c8cb"/>
    <w:basedOn w:val="1"/>
    <w:next w:val="1"/>
    <w:qFormat/>
    <w:uiPriority w:val="0"/>
    <w:pPr>
      <w:ind w:firstLine="200" w:firstLineChars="200"/>
    </w:pPr>
    <w:rPr>
      <w:rFonts w:ascii="Times New Roman" w:hAnsi="Times New Roman" w:cs="Times New Roman"/>
    </w:rPr>
  </w:style>
  <w:style w:type="table" w:customStyle="1" w:styleId="13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4">
    <w:name w:val="icon6"/>
    <w:basedOn w:val="8"/>
    <w:qFormat/>
    <w:uiPriority w:val="0"/>
  </w:style>
  <w:style w:type="character" w:customStyle="1" w:styleId="15">
    <w:name w:val="icon5"/>
    <w:basedOn w:val="8"/>
    <w:qFormat/>
    <w:uiPriority w:val="0"/>
  </w:style>
  <w:style w:type="character" w:customStyle="1" w:styleId="16">
    <w:name w:val="icon4"/>
    <w:basedOn w:val="8"/>
    <w:qFormat/>
    <w:uiPriority w:val="0"/>
  </w:style>
  <w:style w:type="character" w:customStyle="1" w:styleId="17">
    <w:name w:val="icon1"/>
    <w:basedOn w:val="8"/>
    <w:qFormat/>
    <w:uiPriority w:val="0"/>
  </w:style>
  <w:style w:type="character" w:customStyle="1" w:styleId="18">
    <w:name w:val="icon3"/>
    <w:basedOn w:val="8"/>
    <w:qFormat/>
    <w:uiPriority w:val="0"/>
  </w:style>
  <w:style w:type="character" w:customStyle="1" w:styleId="19">
    <w:name w:val="icon2"/>
    <w:basedOn w:val="8"/>
    <w:qFormat/>
    <w:uiPriority w:val="0"/>
  </w:style>
  <w:style w:type="character" w:customStyle="1" w:styleId="20">
    <w:name w:val="icon7"/>
    <w:basedOn w:val="8"/>
    <w:qFormat/>
    <w:uiPriority w:val="0"/>
  </w:style>
  <w:style w:type="character" w:customStyle="1" w:styleId="21">
    <w:name w:val="icon8"/>
    <w:basedOn w:val="8"/>
    <w:qFormat/>
    <w:uiPriority w:val="0"/>
  </w:style>
  <w:style w:type="character" w:customStyle="1" w:styleId="22">
    <w:name w:val="hover9"/>
    <w:basedOn w:val="8"/>
    <w:qFormat/>
    <w:uiPriority w:val="0"/>
    <w:rPr>
      <w:color w:val="076FF4"/>
      <w:bdr w:val="single" w:color="076FF4" w:sz="6" w:space="0"/>
    </w:rPr>
  </w:style>
  <w:style w:type="character" w:customStyle="1" w:styleId="23">
    <w:name w:val="on2"/>
    <w:basedOn w:val="8"/>
    <w:qFormat/>
    <w:uiPriority w:val="0"/>
    <w:rPr>
      <w:color w:val="076FF4"/>
      <w:bdr w:val="single" w:color="076FF4" w:sz="6" w:space="0"/>
    </w:rPr>
  </w:style>
  <w:style w:type="character" w:customStyle="1" w:styleId="24">
    <w:name w:val="prevstop1"/>
    <w:basedOn w:val="8"/>
    <w:qFormat/>
    <w:uiPriority w:val="0"/>
    <w:rPr>
      <w:color w:val="ACACAC"/>
      <w:shd w:val="clear" w:color="auto" w:fill="F2F2F2"/>
    </w:rPr>
  </w:style>
  <w:style w:type="character" w:customStyle="1" w:styleId="25">
    <w:name w:val="nextstop1"/>
    <w:basedOn w:val="8"/>
    <w:qFormat/>
    <w:uiPriority w:val="0"/>
    <w:rPr>
      <w:color w:val="ACACAC"/>
      <w:shd w:val="clear" w:color="auto" w:fill="F2F2F2"/>
    </w:rPr>
  </w:style>
  <w:style w:type="character" w:customStyle="1" w:styleId="26">
    <w:name w:val="share"/>
    <w:basedOn w:val="8"/>
    <w:qFormat/>
    <w:uiPriority w:val="0"/>
  </w:style>
  <w:style w:type="character" w:customStyle="1" w:styleId="27">
    <w:name w:val="prevstop"/>
    <w:basedOn w:val="8"/>
    <w:qFormat/>
    <w:uiPriority w:val="0"/>
    <w:rPr>
      <w:color w:val="ACACAC"/>
      <w:shd w:val="clear" w:color="auto" w:fill="F2F2F2"/>
    </w:rPr>
  </w:style>
  <w:style w:type="character" w:customStyle="1" w:styleId="28">
    <w:name w:val="hover"/>
    <w:basedOn w:val="8"/>
    <w:qFormat/>
    <w:uiPriority w:val="0"/>
    <w:rPr>
      <w:color w:val="076FF4"/>
      <w:bdr w:val="single" w:color="076FF4" w:sz="6" w:space="0"/>
    </w:rPr>
  </w:style>
  <w:style w:type="character" w:customStyle="1" w:styleId="29">
    <w:name w:val="on1"/>
    <w:basedOn w:val="8"/>
    <w:qFormat/>
    <w:uiPriority w:val="0"/>
    <w:rPr>
      <w:color w:val="076FF4"/>
      <w:bdr w:val="single" w:color="076FF4" w:sz="6" w:space="0"/>
    </w:rPr>
  </w:style>
  <w:style w:type="character" w:customStyle="1" w:styleId="30">
    <w:name w:val="页眉 Char"/>
    <w:basedOn w:val="8"/>
    <w:link w:val="5"/>
    <w:qFormat/>
    <w:uiPriority w:val="0"/>
    <w:rPr>
      <w:rFonts w:ascii="Arial" w:hAnsi="Arial" w:eastAsia="Arial" w:cs="Arial"/>
      <w:snapToGrid w:val="0"/>
      <w:color w:val="000000"/>
      <w:sz w:val="18"/>
      <w:szCs w:val="18"/>
    </w:rPr>
  </w:style>
  <w:style w:type="character" w:customStyle="1" w:styleId="31">
    <w:name w:val="页脚 Char"/>
    <w:basedOn w:val="8"/>
    <w:link w:val="4"/>
    <w:qFormat/>
    <w:uiPriority w:val="0"/>
    <w:rPr>
      <w:rFonts w:ascii="Arial" w:hAnsi="Arial" w:eastAsia="Arial" w:cs="Arial"/>
      <w:snapToGrid w:val="0"/>
      <w:color w:val="00000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4</Pages>
  <Words>1210</Words>
  <Characters>1261</Characters>
  <Lines>17</Lines>
  <Paragraphs>4</Paragraphs>
  <TotalTime>4</TotalTime>
  <ScaleCrop>false</ScaleCrop>
  <LinksUpToDate>false</LinksUpToDate>
  <CharactersWithSpaces>1261</CharactersWithSpaces>
  <Application>WPS Office_12.8.2.21176_F1E327BC-269C-435d-A152-05C5408002CA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2022-01-26T08:17:00Z</dcterms:created>
  <dc:creator>小鹏友</dc:creator>
  <cp:lastModifiedBy>kylin</cp:lastModifiedBy>
  <cp:lastPrinted>2022-01-26T09:42:00Z</cp:lastPrinted>
  <dcterms:modified xsi:type="dcterms:W3CDTF">2026-02-19T12:16:41Z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2052-12.8.2.21176</vt:lpwstr>
  </property>
  <property fmtid="{D5CDD505-2E9C-101B-9397-08002B2CF9AE}" pid="3" name="ICV">
    <vt:lpwstr>56AFC27C9ACDA5C60C638169F5BA39AB_43</vt:lpwstr>
  </property>
  <property fmtid="{D5CDD505-2E9C-101B-9397-08002B2CF9AE}" pid="4" name="KSOTemplateDocerSaveRecord">
    <vt:lpwstr>eyJoZGlkIjoiNzhlZmIxMGM2Yjc1MDc1N2Q1OTVlM2M3MDVkNWUzNDgiLCJ1c2VySWQiOiI1MjU5OTUwNjYifQ==</vt:lpwstr>
  </property>
</Properties>
</file>