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14"/>
      <w:r>
        <w:rPr>
          <w:rFonts w:hint="eastAsia" w:ascii="方正小标宋_GBK" w:hAnsi="方正小标宋_GBK" w:eastAsia="方正小标宋_GBK"/>
          <w:b w:val="0"/>
          <w:bCs w:val="0"/>
          <w:sz w:val="30"/>
          <w:lang w:eastAsia="zh-CN"/>
        </w:rPr>
        <w:t>城南乡</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0"/>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216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27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pPr>
              <w:jc w:val="center"/>
              <w:rPr>
                <w:rFonts w:ascii="仿宋_GB2312" w:hAnsi="宋体" w:eastAsia="仿宋_GB2312"/>
                <w:color w:val="000000"/>
                <w:sz w:val="18"/>
                <w:szCs w:val="18"/>
              </w:rPr>
            </w:pP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pPr>
              <w:widowControl/>
              <w:jc w:val="center"/>
              <w:rPr>
                <w:rFonts w:hint="eastAsia"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p>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■政府网站</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spacing w:line="260" w:lineRule="exact"/>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spacing w:line="260" w:lineRule="exact"/>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bl>
    <w:p>
      <w:pPr>
        <w:jc w:val="center"/>
        <w:rPr>
          <w:rFonts w:hint="eastAsia" w:ascii="方正小标宋_GBK" w:hAnsi="方正小标宋_GBK" w:eastAsia="方正小标宋_GBK"/>
          <w:kern w:val="44"/>
          <w:sz w:val="30"/>
          <w:szCs w:val="44"/>
        </w:rPr>
      </w:pPr>
    </w:p>
    <w:p>
      <w:r>
        <w:rPr>
          <w:rFonts w:ascii="方正小标宋_GBK" w:hAnsi="方正小标宋_GBK" w:eastAsia="方正小标宋_GBK"/>
          <w:b w:val="0"/>
          <w:bCs w:val="0"/>
          <w:sz w:val="30"/>
        </w:rPr>
        <w:br w:type="page"/>
      </w:r>
    </w:p>
    <w:sectPr>
      <w:pgSz w:w="16838" w:h="11906" w:orient="landscape"/>
      <w:pgMar w:top="1440" w:right="1259"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EB341-05C3-4829-9C41-4E6F88DEAC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1D4009A2-7D3F-4704-82E2-9382EE0459C5}"/>
  </w:font>
  <w:font w:name="仿宋_GB2312">
    <w:altName w:val="仿宋"/>
    <w:panose1 w:val="02010609030101010101"/>
    <w:charset w:val="86"/>
    <w:family w:val="modern"/>
    <w:pitch w:val="default"/>
    <w:sig w:usb0="00000000" w:usb1="00000000" w:usb2="00000000" w:usb3="00000000" w:csb0="00040000" w:csb1="00000000"/>
    <w:embedRegular r:id="rId3" w:fontKey="{F7EBE8F6-29E3-477A-9C62-A746F927A1A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06E3"/>
    <w:rsid w:val="220227CC"/>
    <w:rsid w:val="23F906E3"/>
    <w:rsid w:val="24F42920"/>
    <w:rsid w:val="303B5933"/>
    <w:rsid w:val="32197CD4"/>
    <w:rsid w:val="3C04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2020-08-06T01:21:00Z</dcterms:created>
  <dc:creator>兲丄丅魚</dc:creator>
  <cp:lastModifiedBy>浑似梦中客、</cp:lastModifiedBy>
  <cp:lastPrinted>2020-08-06T01:22:00Z</cp:lastPrinted>
  <dcterms:modified xsi:type="dcterms:W3CDTF">2020-12-03T02:25:38Z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