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14"/>
      <w:r>
        <w:rPr>
          <w:rFonts w:hint="eastAsia" w:ascii="方正小标宋_GBK" w:hAnsi="方正小标宋_GBK" w:eastAsia="方正小标宋_GBK"/>
          <w:b w:val="0"/>
          <w:bCs w:val="0"/>
          <w:sz w:val="30"/>
          <w:lang w:eastAsia="zh-CN"/>
        </w:rPr>
        <w:t>龙泉镇</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0"/>
    </w:p>
    <w:tbl>
      <w:tblPr>
        <w:tblStyle w:val="3"/>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ascii="Times New Roman" w:hAnsi="Times New Roman"/>
                <w:color w:val="000000"/>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noWrap w:val="0"/>
            <w:vAlign w:val="center"/>
          </w:tcPr>
          <w:p>
            <w:pPr>
              <w:widowControl/>
              <w:jc w:val="left"/>
              <w:rPr>
                <w:rFonts w:ascii="黑体" w:hAnsi="宋体" w:eastAsia="黑体" w:cs="宋体"/>
                <w:color w:val="000000"/>
                <w:kern w:val="0"/>
                <w:sz w:val="22"/>
              </w:rPr>
            </w:pPr>
          </w:p>
        </w:tc>
        <w:tc>
          <w:tcPr>
            <w:tcW w:w="2160" w:type="dxa"/>
            <w:vMerge w:val="continue"/>
            <w:noWrap w:val="0"/>
            <w:vAlign w:val="center"/>
          </w:tcPr>
          <w:p>
            <w:pPr>
              <w:widowControl/>
              <w:jc w:val="left"/>
              <w:rPr>
                <w:rFonts w:ascii="黑体" w:hAnsi="宋体" w:eastAsia="黑体" w:cs="宋体"/>
                <w:color w:val="000000"/>
                <w:kern w:val="0"/>
                <w:sz w:val="22"/>
              </w:rPr>
            </w:pPr>
          </w:p>
        </w:tc>
        <w:tc>
          <w:tcPr>
            <w:tcW w:w="1440" w:type="dxa"/>
            <w:vMerge w:val="continue"/>
            <w:noWrap w:val="0"/>
            <w:vAlign w:val="center"/>
          </w:tcPr>
          <w:p>
            <w:pPr>
              <w:widowControl/>
              <w:jc w:val="left"/>
              <w:rPr>
                <w:rFonts w:ascii="黑体" w:hAnsi="宋体" w:eastAsia="黑体" w:cs="宋体"/>
                <w:color w:val="000000"/>
                <w:kern w:val="0"/>
                <w:sz w:val="22"/>
              </w:rPr>
            </w:pPr>
          </w:p>
        </w:tc>
        <w:tc>
          <w:tcPr>
            <w:tcW w:w="1080" w:type="dxa"/>
            <w:vMerge w:val="continue"/>
            <w:noWrap w:val="0"/>
            <w:vAlign w:val="center"/>
          </w:tcPr>
          <w:p>
            <w:pPr>
              <w:widowControl/>
              <w:jc w:val="left"/>
              <w:rPr>
                <w:rFonts w:ascii="黑体" w:hAnsi="宋体" w:eastAsia="黑体" w:cs="宋体"/>
                <w:color w:val="000000"/>
                <w:kern w:val="0"/>
                <w:sz w:val="22"/>
              </w:rPr>
            </w:pPr>
          </w:p>
        </w:tc>
        <w:tc>
          <w:tcPr>
            <w:tcW w:w="2756" w:type="dxa"/>
            <w:vMerge w:val="continue"/>
            <w:noWrap w:val="0"/>
            <w:vAlign w:val="center"/>
          </w:tcPr>
          <w:p>
            <w:pPr>
              <w:widowControl/>
              <w:jc w:val="left"/>
              <w:rPr>
                <w:rFonts w:ascii="黑体" w:hAnsi="宋体" w:eastAsia="黑体" w:cs="宋体"/>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noWrap w:val="0"/>
            <w:vAlign w:val="center"/>
          </w:tcPr>
          <w:p>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公共</w:t>
            </w:r>
          </w:p>
          <w:p>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ascii="仿宋_GB2312" w:hAnsi="宋体" w:eastAsia="仿宋_GB2312"/>
                <w:color w:val="000000"/>
                <w:sz w:val="18"/>
                <w:szCs w:val="18"/>
              </w:rPr>
              <w:t>自然资源管理部门</w:t>
            </w:r>
          </w:p>
        </w:tc>
        <w:tc>
          <w:tcPr>
            <w:tcW w:w="2756" w:type="dxa"/>
            <w:noWrap w:val="0"/>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■公开查阅点</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■政府服务中心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noWrap w:val="0"/>
            <w:vAlign w:val="center"/>
          </w:tcPr>
          <w:p>
            <w:pPr>
              <w:jc w:val="left"/>
              <w:rPr>
                <w:rFonts w:ascii="仿宋_GB2312" w:hAnsi="宋体" w:eastAsia="仿宋_GB2312"/>
                <w:color w:val="000000"/>
                <w:sz w:val="18"/>
                <w:szCs w:val="18"/>
              </w:rPr>
            </w:pP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城乡规划事项的意见征集、咨询、信访等</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自然资源管理部门</w:t>
            </w:r>
          </w:p>
        </w:tc>
        <w:tc>
          <w:tcPr>
            <w:tcW w:w="275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■公开查阅点</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■政府服务中心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noWrap w:val="0"/>
            <w:vAlign w:val="center"/>
          </w:tcPr>
          <w:p>
            <w:pPr>
              <w:widowControl/>
              <w:jc w:val="left"/>
              <w:rPr>
                <w:rFonts w:ascii="仿宋_GB2312" w:hAnsi="宋体" w:eastAsia="仿宋_GB2312"/>
                <w:color w:val="000000"/>
                <w:sz w:val="18"/>
                <w:szCs w:val="18"/>
              </w:rPr>
            </w:pP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行政许可的事项、依据、条件、数量、程序、期限以及申请行政许可需要提交的全部材料目录</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自然资源管理部门</w:t>
            </w:r>
          </w:p>
        </w:tc>
        <w:tc>
          <w:tcPr>
            <w:tcW w:w="275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■公开查阅点</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■政府服务中心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noWrap w:val="0"/>
            <w:vAlign w:val="center"/>
          </w:tcPr>
          <w:p>
            <w:pPr>
              <w:jc w:val="left"/>
              <w:rPr>
                <w:rFonts w:hint="eastAsia"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城市、镇总体规划及同级的土地利用规划</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自然资源管理部门</w:t>
            </w:r>
          </w:p>
        </w:tc>
        <w:tc>
          <w:tcPr>
            <w:tcW w:w="2756" w:type="dxa"/>
            <w:noWrap w:val="0"/>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 xml:space="preserve">■公开查阅点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hint="eastAsia"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noWrap w:val="0"/>
            <w:vAlign w:val="center"/>
          </w:tcPr>
          <w:p>
            <w:pPr>
              <w:jc w:val="center"/>
              <w:rPr>
                <w:rFonts w:ascii="仿宋_GB2312" w:hAnsi="宋体" w:eastAsia="仿宋_GB2312"/>
                <w:color w:val="000000"/>
                <w:sz w:val="18"/>
                <w:szCs w:val="18"/>
              </w:rPr>
            </w:pPr>
          </w:p>
        </w:tc>
        <w:tc>
          <w:tcPr>
            <w:tcW w:w="108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乡规划及同级的土地利用规划</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自然资源管理部门</w:t>
            </w:r>
          </w:p>
        </w:tc>
        <w:tc>
          <w:tcPr>
            <w:tcW w:w="2756" w:type="dxa"/>
            <w:noWrap w:val="0"/>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 xml:space="preserve">■公开查阅点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hint="eastAsia"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noWrap w:val="0"/>
            <w:vAlign w:val="center"/>
          </w:tcPr>
          <w:p>
            <w:pPr>
              <w:widowControl/>
              <w:jc w:val="center"/>
              <w:rPr>
                <w:rFonts w:hint="eastAsia" w:ascii="仿宋_GB2312" w:hAnsi="宋体" w:eastAsia="仿宋_GB2312"/>
                <w:color w:val="000000"/>
                <w:sz w:val="18"/>
                <w:szCs w:val="18"/>
              </w:rPr>
            </w:pPr>
          </w:p>
        </w:tc>
        <w:tc>
          <w:tcPr>
            <w:tcW w:w="1080" w:type="dxa"/>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城市、镇详细规划</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自然资源管理部门</w:t>
            </w:r>
          </w:p>
        </w:tc>
        <w:tc>
          <w:tcPr>
            <w:tcW w:w="275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ascii="仿宋_GB2312" w:hAnsi="宋体" w:eastAsia="仿宋_GB2312"/>
                <w:color w:val="000000"/>
                <w:sz w:val="18"/>
                <w:szCs w:val="18"/>
              </w:rPr>
              <w:t>■公开查阅点</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noWrap w:val="0"/>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自然资源管理部门</w:t>
            </w:r>
          </w:p>
        </w:tc>
        <w:tc>
          <w:tcPr>
            <w:tcW w:w="275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■公开查阅点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建设项目选址意见书</w:t>
            </w:r>
          </w:p>
        </w:tc>
        <w:tc>
          <w:tcPr>
            <w:tcW w:w="1800" w:type="dxa"/>
            <w:noWrap w:val="0"/>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noWrap w:val="0"/>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自然资源管理部门</w:t>
            </w:r>
          </w:p>
        </w:tc>
        <w:tc>
          <w:tcPr>
            <w:tcW w:w="2756" w:type="dxa"/>
            <w:noWrap w:val="0"/>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■政府服务中心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noWrap w:val="0"/>
            <w:vAlign w:val="center"/>
          </w:tcPr>
          <w:p>
            <w:pPr>
              <w:widowControl/>
              <w:jc w:val="center"/>
              <w:rPr>
                <w:rFonts w:ascii="仿宋_GB2312" w:hAnsi="宋体" w:eastAsia="仿宋_GB2312"/>
                <w:color w:val="000000"/>
                <w:sz w:val="18"/>
                <w:szCs w:val="18"/>
              </w:rPr>
            </w:pPr>
          </w:p>
        </w:tc>
        <w:tc>
          <w:tcPr>
            <w:tcW w:w="108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建设用地规划许可证</w:t>
            </w:r>
          </w:p>
        </w:tc>
        <w:tc>
          <w:tcPr>
            <w:tcW w:w="1800" w:type="dxa"/>
            <w:noWrap w:val="0"/>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自然资源管理部门</w:t>
            </w:r>
          </w:p>
        </w:tc>
        <w:tc>
          <w:tcPr>
            <w:tcW w:w="2756" w:type="dxa"/>
            <w:noWrap w:val="0"/>
            <w:vAlign w:val="center"/>
          </w:tcPr>
          <w:p>
            <w:pPr>
              <w:widowControl/>
              <w:spacing w:line="260" w:lineRule="exact"/>
              <w:rPr>
                <w:rFonts w:hint="eastAsia"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p>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■政府服务中心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noWrap w:val="0"/>
            <w:vAlign w:val="center"/>
          </w:tcPr>
          <w:p>
            <w:pPr>
              <w:widowControl/>
              <w:jc w:val="center"/>
              <w:rPr>
                <w:rFonts w:ascii="仿宋_GB2312" w:hAnsi="宋体" w:eastAsia="仿宋_GB2312"/>
                <w:color w:val="000000"/>
                <w:sz w:val="18"/>
                <w:szCs w:val="18"/>
              </w:rPr>
            </w:pPr>
          </w:p>
        </w:tc>
        <w:tc>
          <w:tcPr>
            <w:tcW w:w="108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建设工程规划许可证</w:t>
            </w:r>
          </w:p>
        </w:tc>
        <w:tc>
          <w:tcPr>
            <w:tcW w:w="1800" w:type="dxa"/>
            <w:noWrap w:val="0"/>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noWrap w:val="0"/>
            <w:vAlign w:val="center"/>
          </w:tcPr>
          <w:p>
            <w:pPr>
              <w:widowControl/>
              <w:spacing w:line="240" w:lineRule="exac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自然资源管理部门</w:t>
            </w:r>
          </w:p>
        </w:tc>
        <w:tc>
          <w:tcPr>
            <w:tcW w:w="2756" w:type="dxa"/>
            <w:noWrap w:val="0"/>
            <w:vAlign w:val="center"/>
          </w:tcPr>
          <w:p>
            <w:pPr>
              <w:widowControl/>
              <w:spacing w:line="260" w:lineRule="exact"/>
              <w:rPr>
                <w:rFonts w:hint="eastAsia"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p>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■政府服务中心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乡村建设规划许可证</w:t>
            </w:r>
          </w:p>
        </w:tc>
        <w:tc>
          <w:tcPr>
            <w:tcW w:w="1800" w:type="dxa"/>
            <w:noWrap w:val="0"/>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p>
        </w:tc>
        <w:tc>
          <w:tcPr>
            <w:tcW w:w="2160" w:type="dxa"/>
            <w:noWrap w:val="0"/>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自然资源管理部门</w:t>
            </w:r>
          </w:p>
        </w:tc>
        <w:tc>
          <w:tcPr>
            <w:tcW w:w="2756" w:type="dxa"/>
            <w:noWrap w:val="0"/>
            <w:vAlign w:val="center"/>
          </w:tcPr>
          <w:p>
            <w:pPr>
              <w:widowControl/>
              <w:spacing w:line="260" w:lineRule="exact"/>
              <w:rPr>
                <w:rFonts w:hint="eastAsia"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■政府服务中心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行政处罚</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行政处罚基本信息</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执法主体、执法人员姓名及证件编号、职责、权限、查处依据、工作程序、救济渠道和随机抽查事项清单等信息</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《关于全面推行行政执法公示制度执法全过程记录制度重大执法决定法制审核制度的指导意见》</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自然资源管理部门</w:t>
            </w:r>
          </w:p>
        </w:tc>
        <w:tc>
          <w:tcPr>
            <w:tcW w:w="2756" w:type="dxa"/>
            <w:noWrap w:val="0"/>
            <w:vAlign w:val="center"/>
          </w:tcPr>
          <w:p>
            <w:pPr>
              <w:widowControl/>
              <w:spacing w:line="260" w:lineRule="exact"/>
              <w:rPr>
                <w:rFonts w:ascii="仿宋_GB2312" w:hAnsi="宋体" w:eastAsia="仿宋_GB2312"/>
                <w:color w:val="000000"/>
                <w:sz w:val="18"/>
                <w:szCs w:val="18"/>
              </w:rPr>
            </w:pPr>
          </w:p>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■公开查阅点</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行政处罚</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事后公开</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作出的行政处罚决定信息（法律、行政法规另有规定的除外）</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《关于全面推行行政执法公示制度执法全过程记录制度重大执法决定法制审核制度的指导意见》</w:t>
            </w:r>
          </w:p>
        </w:tc>
        <w:tc>
          <w:tcPr>
            <w:tcW w:w="144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7个工作日</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自然资源管理部门</w:t>
            </w:r>
          </w:p>
        </w:tc>
        <w:tc>
          <w:tcPr>
            <w:tcW w:w="2756" w:type="dxa"/>
            <w:noWrap w:val="0"/>
            <w:vAlign w:val="center"/>
          </w:tcPr>
          <w:p>
            <w:pPr>
              <w:widowControl/>
              <w:spacing w:line="260" w:lineRule="exact"/>
              <w:rPr>
                <w:rFonts w:ascii="仿宋_GB2312" w:hAnsi="宋体" w:eastAsia="仿宋_GB2312"/>
                <w:color w:val="000000"/>
                <w:sz w:val="18"/>
                <w:szCs w:val="18"/>
              </w:rPr>
            </w:pPr>
          </w:p>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■公开查阅点</w:t>
            </w:r>
            <w:bookmarkStart w:id="1" w:name="_GoBack"/>
            <w:bookmarkEnd w:id="1"/>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bl>
    <w:p>
      <w:pPr>
        <w:jc w:val="center"/>
        <w:rPr>
          <w:rFonts w:hint="eastAsia" w:ascii="方正小标宋_GBK" w:hAnsi="方正小标宋_GBK" w:eastAsia="方正小标宋_GBK"/>
          <w:kern w:val="44"/>
          <w:sz w:val="30"/>
          <w:szCs w:val="44"/>
        </w:rPr>
      </w:pPr>
    </w:p>
    <w:p>
      <w:r>
        <w:rPr>
          <w:rFonts w:ascii="方正小标宋_GBK" w:hAnsi="方正小标宋_GBK" w:eastAsia="方正小标宋_GBK"/>
          <w:b w:val="0"/>
          <w:bCs w:val="0"/>
          <w:sz w:val="30"/>
        </w:rPr>
        <w:br w:type="page"/>
      </w:r>
    </w:p>
    <w:sectPr>
      <w:pgSz w:w="16838" w:h="11906" w:orient="landscape"/>
      <w:pgMar w:top="1440" w:right="1259" w:bottom="1440" w:left="18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2ZTM2NGYxM2FhZGZlZWMxMjhiZGMzODBhMjZmMGEifQ=="/>
  </w:docVars>
  <w:rsids>
    <w:rsidRoot w:val="23F906E3"/>
    <w:rsid w:val="220227CC"/>
    <w:rsid w:val="23F906E3"/>
    <w:rsid w:val="24F42920"/>
    <w:rsid w:val="3C0412B8"/>
    <w:rsid w:val="4C8E6807"/>
    <w:rsid w:val="57B32F6B"/>
    <w:rsid w:val="70A20F61"/>
    <w:rsid w:val="71E35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1397</Words>
  <Characters>1411</Characters>
  <Lines>0</Lines>
  <Paragraphs>0</Paragraphs>
  <TotalTime>0</TotalTime>
  <ScaleCrop>false</ScaleCrop>
  <LinksUpToDate>false</LinksUpToDate>
  <CharactersWithSpaces>1425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2020-08-06T01:21:00Z</dcterms:created>
  <dc:creator>兲丄丅魚</dc:creator>
  <cp:lastModifiedBy>勿忘初心</cp:lastModifiedBy>
  <cp:lastPrinted>2020-12-02T02:27:00Z</cp:lastPrinted>
  <dcterms:modified xsi:type="dcterms:W3CDTF">2022-12-14T07:37:01Z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26889180F0464221A7E9E135E75AE1AA</vt:lpwstr>
  </property>
</Properties>
</file>