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仿宋_GB2312" w:eastAsia="仿宋_GB2312"/>
          <w:b/>
          <w:sz w:val="32"/>
          <w:szCs w:val="32"/>
        </w:rPr>
      </w:pPr>
    </w:p>
    <w:p>
      <w:pPr>
        <w:spacing w:line="660" w:lineRule="exact"/>
        <w:jc w:val="center"/>
        <w:rPr>
          <w:rFonts w:ascii="华文中宋" w:hAnsi="华文中宋" w:eastAsia="华文中宋"/>
          <w:sz w:val="44"/>
          <w:szCs w:val="44"/>
        </w:rPr>
      </w:pPr>
      <w:r>
        <w:rPr>
          <w:rFonts w:hint="eastAsia" w:ascii="华文中宋" w:hAnsi="华文中宋" w:eastAsia="华文中宋"/>
          <w:sz w:val="44"/>
          <w:szCs w:val="44"/>
        </w:rPr>
        <w:t>隰县民政局</w:t>
      </w:r>
    </w:p>
    <w:p>
      <w:pPr>
        <w:spacing w:line="660" w:lineRule="exact"/>
        <w:jc w:val="center"/>
        <w:rPr>
          <w:rFonts w:ascii="仿宋_GB2312" w:eastAsia="仿宋_GB2312"/>
          <w:b/>
          <w:sz w:val="32"/>
          <w:szCs w:val="32"/>
        </w:rPr>
      </w:pPr>
      <w:r>
        <w:rPr>
          <w:rFonts w:hint="eastAsia" w:ascii="华文中宋" w:hAnsi="华文中宋" w:eastAsia="华文中宋"/>
          <w:sz w:val="44"/>
          <w:szCs w:val="44"/>
        </w:rPr>
        <w:t>2020年政府信息公开年度报告</w:t>
      </w:r>
    </w:p>
    <w:p>
      <w:pPr>
        <w:spacing w:line="660" w:lineRule="exact"/>
        <w:jc w:val="center"/>
        <w:rPr>
          <w:rFonts w:ascii="仿宋_GB2312" w:eastAsia="仿宋_GB2312"/>
          <w:b/>
          <w:sz w:val="32"/>
          <w:szCs w:val="32"/>
        </w:rPr>
      </w:pPr>
    </w:p>
    <w:p>
      <w:pPr>
        <w:spacing w:line="640" w:lineRule="exact"/>
        <w:ind w:firstLine="640" w:firstLineChars="200"/>
        <w:rPr>
          <w:rFonts w:ascii="仿宋" w:hAnsi="仿宋" w:eastAsia="仿宋"/>
          <w:sz w:val="32"/>
          <w:szCs w:val="32"/>
        </w:rPr>
      </w:pPr>
      <w:r>
        <w:rPr>
          <w:rFonts w:hint="eastAsia" w:ascii="仿宋" w:hAnsi="仿宋" w:eastAsia="仿宋"/>
          <w:sz w:val="32"/>
          <w:szCs w:val="32"/>
        </w:rPr>
        <w:t>根据修订后的《中华人民共和国政府信息公开条例》规定，按照《隰县人民政府办公室关于做好2020年政府信息公开</w:t>
      </w:r>
      <w:bookmarkStart w:id="1" w:name="_GoBack"/>
      <w:bookmarkEnd w:id="1"/>
      <w:r>
        <w:rPr>
          <w:rFonts w:hint="eastAsia" w:ascii="仿宋" w:hAnsi="仿宋" w:eastAsia="仿宋"/>
          <w:sz w:val="32"/>
          <w:szCs w:val="32"/>
        </w:rPr>
        <w:t>年报相关工作的通知》要求，由</w:t>
      </w:r>
      <w:r>
        <w:rPr>
          <w:rFonts w:ascii="仿宋" w:hAnsi="仿宋" w:eastAsia="仿宋"/>
          <w:sz w:val="32"/>
          <w:szCs w:val="32"/>
        </w:rPr>
        <w:t>县民政局组织编制20</w:t>
      </w:r>
      <w:r>
        <w:rPr>
          <w:rFonts w:hint="eastAsia" w:ascii="仿宋" w:hAnsi="仿宋" w:eastAsia="仿宋"/>
          <w:sz w:val="32"/>
          <w:szCs w:val="32"/>
        </w:rPr>
        <w:t>20</w:t>
      </w:r>
      <w:r>
        <w:rPr>
          <w:rFonts w:ascii="仿宋" w:hAnsi="仿宋" w:eastAsia="仿宋"/>
          <w:sz w:val="32"/>
          <w:szCs w:val="32"/>
        </w:rPr>
        <w:t>年度政务信息公开年度报告。</w:t>
      </w:r>
      <w:r>
        <w:rPr>
          <w:rFonts w:hint="eastAsia" w:ascii="仿宋" w:hAnsi="仿宋" w:eastAsia="仿宋"/>
          <w:sz w:val="32"/>
          <w:szCs w:val="32"/>
        </w:rPr>
        <w:t>全文包括政府信息公开总体情况，</w:t>
      </w:r>
      <w:r>
        <w:rPr>
          <w:rFonts w:ascii="仿宋" w:hAnsi="仿宋" w:eastAsia="仿宋"/>
          <w:sz w:val="32"/>
          <w:szCs w:val="32"/>
        </w:rPr>
        <w:t>主动公开政府信息情况</w:t>
      </w:r>
      <w:r>
        <w:rPr>
          <w:rFonts w:hint="eastAsia" w:ascii="仿宋" w:hAnsi="仿宋" w:eastAsia="仿宋"/>
          <w:sz w:val="32"/>
          <w:szCs w:val="32"/>
        </w:rPr>
        <w:t>，收到和处理政府信息公开申请情况，</w:t>
      </w:r>
      <w:r>
        <w:rPr>
          <w:rFonts w:ascii="仿宋" w:hAnsi="仿宋" w:eastAsia="仿宋"/>
          <w:sz w:val="32"/>
          <w:szCs w:val="32"/>
        </w:rPr>
        <w:t>因政府信息公开</w:t>
      </w:r>
      <w:r>
        <w:rPr>
          <w:rFonts w:hint="eastAsia" w:ascii="仿宋" w:hAnsi="仿宋" w:eastAsia="仿宋"/>
          <w:sz w:val="32"/>
          <w:szCs w:val="32"/>
        </w:rPr>
        <w:t>被</w:t>
      </w:r>
      <w:r>
        <w:rPr>
          <w:rFonts w:ascii="仿宋" w:hAnsi="仿宋" w:eastAsia="仿宋"/>
          <w:sz w:val="32"/>
          <w:szCs w:val="32"/>
        </w:rPr>
        <w:t>申请行政复议、提起行政诉讼的情况</w:t>
      </w:r>
      <w:r>
        <w:rPr>
          <w:rFonts w:hint="eastAsia" w:ascii="仿宋" w:hAnsi="仿宋" w:eastAsia="仿宋"/>
          <w:sz w:val="32"/>
          <w:szCs w:val="32"/>
        </w:rPr>
        <w:t>，</w:t>
      </w:r>
      <w:r>
        <w:rPr>
          <w:rFonts w:ascii="仿宋" w:hAnsi="仿宋" w:eastAsia="仿宋"/>
          <w:sz w:val="32"/>
          <w:szCs w:val="32"/>
        </w:rPr>
        <w:t>存在的主要问题及改进</w:t>
      </w:r>
      <w:r>
        <w:rPr>
          <w:rFonts w:hint="eastAsia" w:ascii="仿宋" w:hAnsi="仿宋" w:eastAsia="仿宋"/>
          <w:sz w:val="32"/>
          <w:szCs w:val="32"/>
        </w:rPr>
        <w:t>措施，其他需要报告的事项六部分组成。本报告中所列数据的统计期限自2020年1月1日起至2020年12月31日止。如对本报告有疑问，可与隰县民政局办公室联系（地址：隰县新建路127号，电话：03577323243，邮箱：xxmzj127@163.com）。</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640" w:lineRule="exact"/>
        <w:ind w:firstLine="640" w:firstLineChars="200"/>
        <w:rPr>
          <w:rFonts w:ascii="仿宋" w:hAnsi="仿宋" w:eastAsia="仿宋" w:cs="宋体"/>
          <w:color w:val="000000"/>
          <w:kern w:val="0"/>
          <w:sz w:val="32"/>
          <w:szCs w:val="32"/>
        </w:rPr>
      </w:pP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年，我局严格按照《中华人民共和国政府信息公开条例》以及</w:t>
      </w:r>
      <w:r>
        <w:rPr>
          <w:rFonts w:hint="eastAsia" w:ascii="仿宋" w:hAnsi="仿宋" w:eastAsia="仿宋"/>
          <w:sz w:val="32"/>
          <w:szCs w:val="32"/>
        </w:rPr>
        <w:t>省市县</w:t>
      </w:r>
      <w:r>
        <w:rPr>
          <w:rFonts w:ascii="仿宋" w:hAnsi="仿宋" w:eastAsia="仿宋"/>
          <w:sz w:val="32"/>
          <w:szCs w:val="32"/>
        </w:rPr>
        <w:t>有关规定</w:t>
      </w:r>
      <w:r>
        <w:rPr>
          <w:rFonts w:hint="eastAsia" w:ascii="仿宋" w:hAnsi="仿宋" w:eastAsia="仿宋"/>
          <w:sz w:val="32"/>
          <w:szCs w:val="32"/>
        </w:rPr>
        <w:t>，</w:t>
      </w:r>
      <w:r>
        <w:rPr>
          <w:rFonts w:ascii="仿宋" w:hAnsi="仿宋" w:eastAsia="仿宋"/>
          <w:sz w:val="32"/>
          <w:szCs w:val="32"/>
        </w:rPr>
        <w:t>积极围绕“民政为民 民政爱民”的工作理念，坚持以公开为原则，以不公开为例外，主动公开政府信息，作为推进各项民政工作又快又好发展的内在动力，作为民政系统内练素质、外树形象的有力抓手，作为自觉接受群众监督、使权力在阳光下运行的重要举措，转变观念，扎实工作，创新开拓，有力推进政府信息公开工作新的发展，</w:t>
      </w:r>
      <w:r>
        <w:rPr>
          <w:rFonts w:hint="eastAsia" w:ascii="仿宋" w:hAnsi="仿宋" w:eastAsia="仿宋"/>
          <w:sz w:val="32"/>
          <w:szCs w:val="32"/>
        </w:rPr>
        <w:t>使得</w:t>
      </w:r>
      <w:r>
        <w:rPr>
          <w:rFonts w:ascii="仿宋" w:hAnsi="仿宋" w:eastAsia="仿宋"/>
          <w:sz w:val="32"/>
          <w:szCs w:val="32"/>
        </w:rPr>
        <w:t>民政工作更加公开透明</w:t>
      </w:r>
      <w:r>
        <w:rPr>
          <w:rFonts w:ascii="仿宋" w:hAnsi="仿宋" w:eastAsia="仿宋"/>
          <w:color w:val="333333"/>
          <w:sz w:val="32"/>
          <w:szCs w:val="32"/>
        </w:rPr>
        <w:t>。</w:t>
      </w:r>
    </w:p>
    <w:p>
      <w:pPr>
        <w:widowControl/>
        <w:shd w:val="clear" w:color="auto" w:fill="FFFFFF"/>
        <w:spacing w:line="64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bCs/>
          <w:color w:val="000000"/>
          <w:kern w:val="0"/>
          <w:sz w:val="32"/>
          <w:szCs w:val="32"/>
        </w:rPr>
        <w:t>（</w:t>
      </w:r>
      <w:r>
        <w:rPr>
          <w:rFonts w:hint="eastAsia" w:ascii="仿宋" w:hAnsi="仿宋" w:eastAsia="仿宋" w:cs="宋体"/>
          <w:b/>
          <w:bCs/>
          <w:color w:val="000000"/>
          <w:kern w:val="0"/>
          <w:sz w:val="32"/>
          <w:szCs w:val="32"/>
        </w:rPr>
        <w:t>一）加强组织领导，建立健全工作机制</w:t>
      </w:r>
      <w:r>
        <w:rPr>
          <w:rFonts w:hint="eastAsia" w:ascii="仿宋" w:hAnsi="仿宋" w:eastAsia="仿宋" w:cs="宋体"/>
          <w:color w:val="000000"/>
          <w:kern w:val="0"/>
          <w:sz w:val="32"/>
          <w:szCs w:val="32"/>
        </w:rPr>
        <w:t>。我局高度重视政府信息公开工作，通过加强组织领导，进一步贯彻落实《政府信息公开条例》，不断推进我局政府信息公开工作。我局进一步落实“主要领导亲自抓、分管领导具体抓、办公室牵头、各股室协同抓、专人具体负责”的工作机制，</w:t>
      </w:r>
      <w:r>
        <w:rPr>
          <w:rFonts w:ascii="仿宋" w:hAnsi="仿宋" w:eastAsia="仿宋"/>
          <w:sz w:val="32"/>
          <w:szCs w:val="32"/>
        </w:rPr>
        <w:t>继续保持民政系统政务公开工作一级抓一级、层层抓落实的良好局面。</w:t>
      </w:r>
    </w:p>
    <w:p>
      <w:pPr>
        <w:widowControl/>
        <w:shd w:val="clear" w:color="auto" w:fill="FFFFFF"/>
        <w:spacing w:line="640" w:lineRule="exact"/>
        <w:ind w:firstLine="482"/>
        <w:jc w:val="left"/>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（二）规范管理服务，提升工作实效。</w:t>
      </w:r>
      <w:r>
        <w:rPr>
          <w:rFonts w:hint="eastAsia" w:ascii="仿宋" w:hAnsi="仿宋" w:eastAsia="仿宋" w:cs="宋体"/>
          <w:bCs/>
          <w:color w:val="000000"/>
          <w:kern w:val="0"/>
          <w:sz w:val="32"/>
          <w:szCs w:val="32"/>
        </w:rPr>
        <w:t>积极</w:t>
      </w:r>
      <w:r>
        <w:rPr>
          <w:rFonts w:ascii="仿宋" w:hAnsi="仿宋" w:eastAsia="仿宋"/>
          <w:sz w:val="32"/>
          <w:szCs w:val="32"/>
        </w:rPr>
        <w:t>推动民政系统政府信息公开的经常化、规范化</w:t>
      </w:r>
      <w:r>
        <w:rPr>
          <w:rFonts w:hint="eastAsia" w:ascii="仿宋" w:hAnsi="仿宋" w:eastAsia="仿宋"/>
          <w:sz w:val="32"/>
          <w:szCs w:val="32"/>
        </w:rPr>
        <w:t>，</w:t>
      </w:r>
      <w:r>
        <w:rPr>
          <w:rFonts w:hint="eastAsia" w:ascii="仿宋" w:hAnsi="仿宋" w:eastAsia="仿宋" w:cs="宋体"/>
          <w:color w:val="000000"/>
          <w:kern w:val="0"/>
          <w:sz w:val="32"/>
          <w:szCs w:val="32"/>
        </w:rPr>
        <w:t>按照信息公开的具体要求，充分利用政府网站、信息公开栏等方式对民政需要公开的信息进行及时公开。严格按照主动公开、依申请公开和不公开的要求和程序公开各类民政信息，确保政府信息公开准确、清晰、及时、安全。同时，我们还加大动态管理，通过信息公开渠道及时了解和关注百姓对我局信息工作的意见和建议，进一步发挥信息平台宣传民政和服务群众的窗口功能，</w:t>
      </w:r>
      <w:r>
        <w:rPr>
          <w:rFonts w:hint="eastAsia" w:ascii="仿宋" w:hAnsi="仿宋" w:eastAsia="仿宋"/>
          <w:sz w:val="32"/>
          <w:szCs w:val="32"/>
        </w:rPr>
        <w:t>切</w:t>
      </w:r>
      <w:r>
        <w:rPr>
          <w:rFonts w:ascii="仿宋" w:hAnsi="仿宋" w:eastAsia="仿宋"/>
          <w:sz w:val="32"/>
          <w:szCs w:val="32"/>
        </w:rPr>
        <w:t>实保证公开透明运行</w:t>
      </w:r>
      <w:r>
        <w:rPr>
          <w:rFonts w:hint="eastAsia" w:ascii="仿宋" w:hAnsi="仿宋" w:eastAsia="仿宋"/>
          <w:sz w:val="32"/>
          <w:szCs w:val="32"/>
        </w:rPr>
        <w:t>，</w:t>
      </w:r>
      <w:r>
        <w:rPr>
          <w:rFonts w:ascii="仿宋" w:hAnsi="仿宋" w:eastAsia="仿宋"/>
          <w:sz w:val="32"/>
          <w:szCs w:val="32"/>
        </w:rPr>
        <w:t>工作不走过场、不流于形式、真正收到实效。</w:t>
      </w:r>
      <w:r>
        <w:rPr>
          <w:rFonts w:hint="eastAsia" w:ascii="仿宋" w:hAnsi="仿宋" w:eastAsia="仿宋" w:cs="宋体"/>
          <w:color w:val="000000"/>
          <w:kern w:val="0"/>
          <w:sz w:val="32"/>
          <w:szCs w:val="32"/>
        </w:rPr>
        <w:br w:type="textWrapping"/>
      </w:r>
      <w:r>
        <w:rPr>
          <w:rFonts w:hint="eastAsia" w:ascii="宋体" w:hAnsi="宋体" w:eastAsia="仿宋" w:cs="宋体"/>
          <w:color w:val="000000"/>
          <w:kern w:val="0"/>
          <w:sz w:val="32"/>
          <w:szCs w:val="32"/>
        </w:rPr>
        <w:t> </w:t>
      </w:r>
      <w:r>
        <w:rPr>
          <w:rFonts w:hint="eastAsia" w:ascii="宋体" w:hAnsi="宋体" w:eastAsia="仿宋" w:cs="宋体"/>
          <w:b/>
          <w:bCs/>
          <w:color w:val="000000"/>
          <w:kern w:val="0"/>
          <w:sz w:val="32"/>
          <w:szCs w:val="32"/>
        </w:rPr>
        <w:t> </w:t>
      </w:r>
      <w:r>
        <w:rPr>
          <w:rFonts w:hint="eastAsia" w:ascii="仿宋" w:hAnsi="仿宋" w:eastAsia="仿宋" w:cs="宋体"/>
          <w:b/>
          <w:bCs/>
          <w:color w:val="000000"/>
          <w:kern w:val="0"/>
          <w:sz w:val="32"/>
          <w:szCs w:val="32"/>
        </w:rPr>
        <w:t xml:space="preserve"> （三)加强保密审核、保障信息网络安全。</w:t>
      </w:r>
      <w:r>
        <w:rPr>
          <w:rFonts w:hint="eastAsia" w:ascii="仿宋" w:hAnsi="仿宋" w:eastAsia="仿宋" w:cs="宋体"/>
          <w:color w:val="000000"/>
          <w:kern w:val="0"/>
          <w:sz w:val="32"/>
          <w:szCs w:val="32"/>
        </w:rPr>
        <w:t>严格执行相关信息公开制度，加大保密宣传。按照“谁公开、谁审查”、“谁公开、谁负责”的原则，明确审查责任，采取有力措施，严格执行保密审查制度，加强政府信息公开工作的保密审查及已公开信息的自查工作，并实施常态化管理，全年确保了“上网信息不泄密、涉密信息不上网”。</w:t>
      </w:r>
    </w:p>
    <w:p>
      <w:pPr>
        <w:spacing w:line="64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二、主动公开政府信息情况</w:t>
      </w:r>
    </w:p>
    <w:tbl>
      <w:tblPr>
        <w:tblStyle w:val="5"/>
        <w:tblW w:w="7679" w:type="dxa"/>
        <w:jc w:val="center"/>
        <w:tblLayout w:type="autofit"/>
        <w:tblCellMar>
          <w:top w:w="0" w:type="dxa"/>
          <w:left w:w="108" w:type="dxa"/>
          <w:bottom w:w="0" w:type="dxa"/>
          <w:right w:w="108" w:type="dxa"/>
        </w:tblCellMar>
      </w:tblPr>
      <w:tblGrid>
        <w:gridCol w:w="2591"/>
        <w:gridCol w:w="1891"/>
        <w:gridCol w:w="1306"/>
        <w:gridCol w:w="1891"/>
      </w:tblGrid>
      <w:tr>
        <w:tblPrEx>
          <w:tblCellMar>
            <w:top w:w="0" w:type="dxa"/>
            <w:left w:w="108" w:type="dxa"/>
            <w:bottom w:w="0" w:type="dxa"/>
            <w:right w:w="108" w:type="dxa"/>
          </w:tblCellMar>
        </w:tblPrEx>
        <w:trPr>
          <w:trHeight w:val="388"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第二十条第（一）项</w:t>
            </w:r>
          </w:p>
        </w:tc>
      </w:tr>
      <w:tr>
        <w:tblPrEx>
          <w:tblCellMar>
            <w:top w:w="0" w:type="dxa"/>
            <w:left w:w="108" w:type="dxa"/>
            <w:bottom w:w="0" w:type="dxa"/>
            <w:right w:w="108" w:type="dxa"/>
          </w:tblCellMar>
        </w:tblPrEx>
        <w:trPr>
          <w:trHeight w:val="652"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信息内容</w:t>
            </w:r>
          </w:p>
        </w:tc>
        <w:tc>
          <w:tcPr>
            <w:tcW w:w="0" w:type="auto"/>
            <w:tcBorders>
              <w:top w:val="single" w:color="auto" w:sz="4" w:space="0"/>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宋体" w:hAnsi="宋体" w:cs="宋体"/>
                <w:color w:val="333333"/>
                <w:kern w:val="0"/>
                <w:sz w:val="20"/>
                <w:szCs w:val="20"/>
              </w:rPr>
              <w:t>制作数量</w:t>
            </w:r>
          </w:p>
        </w:tc>
        <w:tc>
          <w:tcPr>
            <w:tcW w:w="0" w:type="auto"/>
            <w:tcBorders>
              <w:top w:val="single" w:color="auto" w:sz="4" w:space="0"/>
              <w:left w:val="nil"/>
              <w:bottom w:val="single" w:color="auto" w:sz="4" w:space="0"/>
              <w:right w:val="single" w:color="auto" w:sz="4" w:space="0"/>
            </w:tcBorders>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宋体" w:hAnsi="宋体" w:cs="宋体"/>
                <w:color w:val="333333"/>
                <w:kern w:val="0"/>
                <w:sz w:val="20"/>
                <w:szCs w:val="20"/>
              </w:rPr>
              <w:t>公开数量</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对外公开总数量</w:t>
            </w:r>
          </w:p>
        </w:tc>
      </w:tr>
      <w:tr>
        <w:tblPrEx>
          <w:tblCellMar>
            <w:top w:w="0" w:type="dxa"/>
            <w:left w:w="108" w:type="dxa"/>
            <w:bottom w:w="0" w:type="dxa"/>
            <w:right w:w="108" w:type="dxa"/>
          </w:tblCellMar>
        </w:tblPrEx>
        <w:trPr>
          <w:trHeight w:val="35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规章</w:t>
            </w:r>
          </w:p>
        </w:tc>
        <w:tc>
          <w:tcPr>
            <w:tcW w:w="0" w:type="auto"/>
            <w:tcBorders>
              <w:top w:val="single" w:color="auto" w:sz="4" w:space="0"/>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c>
          <w:tcPr>
            <w:tcW w:w="0" w:type="auto"/>
            <w:tcBorders>
              <w:top w:val="single" w:color="auto" w:sz="4" w:space="0"/>
              <w:left w:val="nil"/>
              <w:bottom w:val="single" w:color="auto" w:sz="4" w:space="0"/>
              <w:right w:val="single" w:color="auto" w:sz="4" w:space="0"/>
            </w:tcBorders>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r>
      <w:tr>
        <w:tblPrEx>
          <w:tblCellMar>
            <w:top w:w="0" w:type="dxa"/>
            <w:left w:w="108" w:type="dxa"/>
            <w:bottom w:w="0" w:type="dxa"/>
            <w:right w:w="108" w:type="dxa"/>
          </w:tblCellMar>
        </w:tblPrEx>
        <w:trPr>
          <w:trHeight w:val="33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规范性文件</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c>
          <w:tcPr>
            <w:tcW w:w="0" w:type="auto"/>
            <w:tcBorders>
              <w:top w:val="nil"/>
              <w:left w:val="nil"/>
              <w:bottom w:val="single" w:color="auto" w:sz="4" w:space="0"/>
              <w:right w:val="single" w:color="auto" w:sz="4" w:space="0"/>
            </w:tcBorders>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r>
      <w:tr>
        <w:tblPrEx>
          <w:tblCellMar>
            <w:top w:w="0" w:type="dxa"/>
            <w:left w:w="108" w:type="dxa"/>
            <w:bottom w:w="0" w:type="dxa"/>
            <w:right w:w="108" w:type="dxa"/>
          </w:tblCellMar>
        </w:tblPrEx>
        <w:trPr>
          <w:trHeight w:val="48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第二十条第（五）项</w:t>
            </w:r>
          </w:p>
        </w:tc>
      </w:tr>
      <w:tr>
        <w:tblPrEx>
          <w:tblCellMar>
            <w:top w:w="0" w:type="dxa"/>
            <w:left w:w="108" w:type="dxa"/>
            <w:bottom w:w="0" w:type="dxa"/>
            <w:right w:w="108" w:type="dxa"/>
          </w:tblCellMar>
        </w:tblPrEx>
        <w:trPr>
          <w:trHeight w:val="43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信息内容</w:t>
            </w:r>
          </w:p>
        </w:tc>
        <w:tc>
          <w:tcPr>
            <w:tcW w:w="0" w:type="auto"/>
            <w:tcBorders>
              <w:top w:val="single" w:color="auto" w:sz="4" w:space="0"/>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上一年项目数量</w:t>
            </w:r>
          </w:p>
        </w:tc>
        <w:tc>
          <w:tcPr>
            <w:tcW w:w="0" w:type="auto"/>
            <w:tcBorders>
              <w:top w:val="single" w:color="auto" w:sz="4" w:space="0"/>
              <w:left w:val="nil"/>
              <w:bottom w:val="single" w:color="auto" w:sz="4" w:space="0"/>
              <w:right w:val="single" w:color="auto" w:sz="4" w:space="0"/>
            </w:tcBorders>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本年增/减</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处理决定数量</w:t>
            </w:r>
          </w:p>
        </w:tc>
      </w:tr>
      <w:tr>
        <w:tblPrEx>
          <w:tblCellMar>
            <w:top w:w="0" w:type="dxa"/>
            <w:left w:w="108" w:type="dxa"/>
            <w:bottom w:w="0" w:type="dxa"/>
            <w:right w:w="108" w:type="dxa"/>
          </w:tblCellMar>
        </w:tblPrEx>
        <w:trPr>
          <w:trHeight w:val="414"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行政许可</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其他对外管理服务事项</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15</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r>
      <w:tr>
        <w:tblPrEx>
          <w:tblCellMar>
            <w:top w:w="0" w:type="dxa"/>
            <w:left w:w="108" w:type="dxa"/>
            <w:bottom w:w="0" w:type="dxa"/>
            <w:right w:w="108" w:type="dxa"/>
          </w:tblCellMar>
        </w:tblPrEx>
        <w:trPr>
          <w:trHeight w:val="407"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第二十条第（六）项</w:t>
            </w:r>
          </w:p>
        </w:tc>
      </w:tr>
      <w:tr>
        <w:tblPrEx>
          <w:tblCellMar>
            <w:top w:w="0" w:type="dxa"/>
            <w:left w:w="108" w:type="dxa"/>
            <w:bottom w:w="0" w:type="dxa"/>
            <w:right w:w="108" w:type="dxa"/>
          </w:tblCellMar>
        </w:tblPrEx>
        <w:trPr>
          <w:trHeight w:val="531"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信息内容</w:t>
            </w:r>
          </w:p>
        </w:tc>
        <w:tc>
          <w:tcPr>
            <w:tcW w:w="0" w:type="auto"/>
            <w:tcBorders>
              <w:top w:val="single" w:color="auto" w:sz="4" w:space="0"/>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上一年项目数量</w:t>
            </w:r>
          </w:p>
        </w:tc>
        <w:tc>
          <w:tcPr>
            <w:tcW w:w="0" w:type="auto"/>
            <w:tcBorders>
              <w:top w:val="single" w:color="auto" w:sz="4" w:space="0"/>
              <w:left w:val="nil"/>
              <w:bottom w:val="single" w:color="auto" w:sz="4" w:space="0"/>
              <w:right w:val="single" w:color="auto" w:sz="4" w:space="0"/>
            </w:tcBorders>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本年增/减</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处理决定数量</w:t>
            </w:r>
          </w:p>
        </w:tc>
      </w:tr>
      <w:tr>
        <w:tblPrEx>
          <w:tblCellMar>
            <w:top w:w="0" w:type="dxa"/>
            <w:left w:w="108" w:type="dxa"/>
            <w:bottom w:w="0" w:type="dxa"/>
            <w:right w:w="108" w:type="dxa"/>
          </w:tblCellMar>
        </w:tblPrEx>
        <w:trPr>
          <w:trHeight w:val="344"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行政处罚</w:t>
            </w:r>
          </w:p>
        </w:tc>
        <w:tc>
          <w:tcPr>
            <w:tcW w:w="0" w:type="auto"/>
            <w:tcBorders>
              <w:top w:val="single" w:color="auto" w:sz="4" w:space="0"/>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4</w:t>
            </w:r>
          </w:p>
        </w:tc>
        <w:tc>
          <w:tcPr>
            <w:tcW w:w="0" w:type="auto"/>
            <w:tcBorders>
              <w:top w:val="single" w:color="auto" w:sz="4" w:space="0"/>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r>
      <w:tr>
        <w:tblPrEx>
          <w:tblCellMar>
            <w:top w:w="0" w:type="dxa"/>
            <w:left w:w="108" w:type="dxa"/>
            <w:bottom w:w="0" w:type="dxa"/>
            <w:right w:w="108" w:type="dxa"/>
          </w:tblCellMar>
        </w:tblPrEx>
        <w:trPr>
          <w:trHeight w:val="408"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行政强制</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2</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r>
      <w:tr>
        <w:tblPrEx>
          <w:tblCellMar>
            <w:top w:w="0" w:type="dxa"/>
            <w:left w:w="108" w:type="dxa"/>
            <w:bottom w:w="0" w:type="dxa"/>
            <w:right w:w="108" w:type="dxa"/>
          </w:tblCellMar>
        </w:tblPrEx>
        <w:trPr>
          <w:trHeight w:val="41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第二十条第（八）项</w:t>
            </w:r>
          </w:p>
        </w:tc>
      </w:tr>
      <w:tr>
        <w:tblPrEx>
          <w:tblCellMar>
            <w:top w:w="0" w:type="dxa"/>
            <w:left w:w="108" w:type="dxa"/>
            <w:bottom w:w="0" w:type="dxa"/>
            <w:right w:w="108" w:type="dxa"/>
          </w:tblCellMar>
        </w:tblPrEx>
        <w:trPr>
          <w:trHeight w:val="271"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信息内容</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上一年项目数量</w:t>
            </w:r>
          </w:p>
        </w:tc>
        <w:tc>
          <w:tcPr>
            <w:tcW w:w="0" w:type="auto"/>
            <w:gridSpan w:val="2"/>
            <w:tcBorders>
              <w:top w:val="single" w:color="auto" w:sz="4" w:space="0"/>
              <w:left w:val="nil"/>
              <w:bottom w:val="single" w:color="auto" w:sz="4" w:space="0"/>
              <w:right w:val="single" w:color="000000"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本年增/减</w:t>
            </w:r>
          </w:p>
        </w:tc>
      </w:tr>
      <w:tr>
        <w:tblPrEx>
          <w:tblCellMar>
            <w:top w:w="0" w:type="dxa"/>
            <w:left w:w="108" w:type="dxa"/>
            <w:bottom w:w="0" w:type="dxa"/>
            <w:right w:w="108" w:type="dxa"/>
          </w:tblCellMar>
        </w:tblPrEx>
        <w:trPr>
          <w:trHeight w:val="396"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行政事业性收费</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c>
          <w:tcPr>
            <w:tcW w:w="0" w:type="auto"/>
            <w:gridSpan w:val="2"/>
            <w:tcBorders>
              <w:top w:val="single" w:color="auto" w:sz="4" w:space="0"/>
              <w:left w:val="nil"/>
              <w:bottom w:val="single" w:color="auto" w:sz="4" w:space="0"/>
              <w:right w:val="single" w:color="000000"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r>
      <w:tr>
        <w:tblPrEx>
          <w:tblCellMar>
            <w:top w:w="0" w:type="dxa"/>
            <w:left w:w="108" w:type="dxa"/>
            <w:bottom w:w="0" w:type="dxa"/>
            <w:right w:w="108" w:type="dxa"/>
          </w:tblCellMar>
        </w:tblPrEx>
        <w:trPr>
          <w:trHeight w:val="477"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第二十条第（九）项</w:t>
            </w:r>
          </w:p>
        </w:tc>
      </w:tr>
      <w:tr>
        <w:tblPrEx>
          <w:tblCellMar>
            <w:top w:w="0" w:type="dxa"/>
            <w:left w:w="108" w:type="dxa"/>
            <w:bottom w:w="0" w:type="dxa"/>
            <w:right w:w="108" w:type="dxa"/>
          </w:tblCellMar>
        </w:tblPrEx>
        <w:trPr>
          <w:trHeight w:val="417"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信息内容</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采购项目数量</w:t>
            </w:r>
          </w:p>
        </w:tc>
        <w:tc>
          <w:tcPr>
            <w:tcW w:w="0" w:type="auto"/>
            <w:gridSpan w:val="2"/>
            <w:tcBorders>
              <w:top w:val="single" w:color="auto" w:sz="4" w:space="0"/>
              <w:left w:val="nil"/>
              <w:bottom w:val="single" w:color="auto" w:sz="4" w:space="0"/>
              <w:right w:val="single" w:color="000000"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采购总金额</w:t>
            </w:r>
          </w:p>
        </w:tc>
      </w:tr>
      <w:tr>
        <w:tblPrEx>
          <w:tblCellMar>
            <w:top w:w="0" w:type="dxa"/>
            <w:left w:w="108" w:type="dxa"/>
            <w:bottom w:w="0" w:type="dxa"/>
            <w:right w:w="108" w:type="dxa"/>
          </w:tblCellMar>
        </w:tblPrEx>
        <w:trPr>
          <w:trHeight w:val="353"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000000"/>
                <w:kern w:val="0"/>
                <w:sz w:val="20"/>
                <w:szCs w:val="20"/>
              </w:rPr>
              <w:t>政府集中采购</w:t>
            </w:r>
          </w:p>
        </w:tc>
        <w:tc>
          <w:tcPr>
            <w:tcW w:w="0" w:type="auto"/>
            <w:tcBorders>
              <w:top w:val="nil"/>
              <w:left w:val="nil"/>
              <w:bottom w:val="single" w:color="auto" w:sz="4" w:space="0"/>
              <w:right w:val="single" w:color="auto" w:sz="4" w:space="0"/>
            </w:tcBorders>
            <w:noWrap/>
            <w:vAlign w:val="center"/>
          </w:tcPr>
          <w:p>
            <w:pPr>
              <w:widowControl/>
              <w:spacing w:after="180"/>
              <w:jc w:val="center"/>
              <w:rPr>
                <w:rFonts w:ascii="宋体" w:hAnsi="宋体" w:cs="宋体"/>
                <w:color w:val="333333"/>
                <w:kern w:val="0"/>
                <w:sz w:val="24"/>
              </w:rPr>
            </w:pPr>
            <w:r>
              <w:rPr>
                <w:rFonts w:hint="eastAsia" w:ascii="宋体" w:hAnsi="宋体" w:cs="宋体"/>
                <w:color w:val="333333"/>
                <w:kern w:val="0"/>
                <w:sz w:val="24"/>
              </w:rPr>
              <w:t>0</w:t>
            </w:r>
          </w:p>
        </w:tc>
        <w:tc>
          <w:tcPr>
            <w:tcW w:w="0" w:type="auto"/>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333333"/>
                <w:kern w:val="0"/>
                <w:sz w:val="24"/>
              </w:rPr>
            </w:pPr>
            <w:r>
              <w:rPr>
                <w:rFonts w:hint="eastAsia" w:ascii="宋体" w:hAnsi="宋体" w:cs="宋体"/>
                <w:color w:val="333333"/>
                <w:kern w:val="0"/>
                <w:sz w:val="24"/>
              </w:rPr>
              <w:t>0</w:t>
            </w:r>
          </w:p>
        </w:tc>
      </w:tr>
    </w:tbl>
    <w:p>
      <w:pPr>
        <w:widowControl/>
        <w:shd w:val="clear" w:color="auto" w:fill="FFFFFF"/>
        <w:spacing w:line="640" w:lineRule="exact"/>
        <w:ind w:firstLine="645"/>
        <w:jc w:val="left"/>
        <w:rPr>
          <w:rFonts w:ascii="黑体" w:hAnsi="黑体" w:eastAsia="黑体" w:cs="宋体"/>
          <w:color w:val="000000"/>
          <w:kern w:val="0"/>
          <w:sz w:val="32"/>
          <w:szCs w:val="32"/>
        </w:rPr>
      </w:pPr>
    </w:p>
    <w:p>
      <w:pPr>
        <w:widowControl/>
        <w:shd w:val="clear" w:color="auto" w:fill="FFFFFF"/>
        <w:spacing w:line="640" w:lineRule="exact"/>
        <w:ind w:firstLine="645"/>
        <w:jc w:val="left"/>
        <w:rPr>
          <w:rFonts w:ascii="黑体" w:hAnsi="黑体" w:eastAsia="黑体"/>
          <w:color w:val="333333"/>
          <w:sz w:val="32"/>
          <w:szCs w:val="32"/>
        </w:rPr>
      </w:pPr>
      <w:r>
        <w:rPr>
          <w:rFonts w:hint="eastAsia" w:ascii="黑体" w:hAnsi="黑体" w:eastAsia="黑体" w:cs="宋体"/>
          <w:color w:val="000000"/>
          <w:kern w:val="0"/>
          <w:sz w:val="32"/>
          <w:szCs w:val="32"/>
        </w:rPr>
        <w:t>三、</w:t>
      </w:r>
      <w:bookmarkStart w:id="0" w:name="ZW"/>
      <w:r>
        <w:rPr>
          <w:rFonts w:hint="eastAsia" w:ascii="黑体" w:hAnsi="黑体" w:eastAsia="黑体"/>
          <w:color w:val="333333"/>
          <w:sz w:val="32"/>
          <w:szCs w:val="32"/>
        </w:rPr>
        <w:t>收到和处理政府信息公开申请情况</w:t>
      </w:r>
    </w:p>
    <w:tbl>
      <w:tblPr>
        <w:tblStyle w:val="5"/>
        <w:tblW w:w="797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9"/>
        <w:gridCol w:w="567"/>
        <w:gridCol w:w="2938"/>
        <w:gridCol w:w="522"/>
        <w:gridCol w:w="560"/>
        <w:gridCol w:w="560"/>
        <w:gridCol w:w="560"/>
        <w:gridCol w:w="560"/>
        <w:gridCol w:w="477"/>
        <w:gridCol w:w="5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2" w:hRule="atLeast"/>
          <w:jc w:val="center"/>
        </w:trPr>
        <w:tc>
          <w:tcPr>
            <w:tcW w:w="4214" w:type="dxa"/>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（本列数据的勾稽关系为：第一项加第二项之和，等于第三项加第四项之和）</w:t>
            </w:r>
          </w:p>
        </w:tc>
        <w:tc>
          <w:tcPr>
            <w:tcW w:w="3764"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申请人情况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214"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22"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自</w:t>
            </w:r>
          </w:p>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然</w:t>
            </w:r>
          </w:p>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人</w:t>
            </w:r>
          </w:p>
        </w:tc>
        <w:tc>
          <w:tcPr>
            <w:tcW w:w="2717" w:type="dxa"/>
            <w:gridSpan w:val="5"/>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法人或其他组织</w:t>
            </w:r>
          </w:p>
        </w:tc>
        <w:tc>
          <w:tcPr>
            <w:tcW w:w="525"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总计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4214"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22"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0"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商业</w:t>
            </w:r>
          </w:p>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企业</w:t>
            </w:r>
          </w:p>
        </w:tc>
        <w:tc>
          <w:tcPr>
            <w:tcW w:w="560"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科研</w:t>
            </w:r>
          </w:p>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机构</w:t>
            </w:r>
          </w:p>
        </w:tc>
        <w:tc>
          <w:tcPr>
            <w:tcW w:w="560"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社会公益组织</w:t>
            </w:r>
          </w:p>
        </w:tc>
        <w:tc>
          <w:tcPr>
            <w:tcW w:w="560"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法律服务机构</w:t>
            </w:r>
          </w:p>
        </w:tc>
        <w:tc>
          <w:tcPr>
            <w:tcW w:w="477"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其他</w:t>
            </w:r>
          </w:p>
        </w:tc>
        <w:tc>
          <w:tcPr>
            <w:tcW w:w="525"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2" w:hRule="atLeast"/>
          <w:jc w:val="center"/>
        </w:trPr>
        <w:tc>
          <w:tcPr>
            <w:tcW w:w="4214"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一、本年新收政府信息公开申请数量</w:t>
            </w:r>
          </w:p>
        </w:tc>
        <w:tc>
          <w:tcPr>
            <w:tcW w:w="522"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2" w:hRule="atLeast"/>
          <w:jc w:val="center"/>
        </w:trPr>
        <w:tc>
          <w:tcPr>
            <w:tcW w:w="4214"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二、上年结转政府信息公开申请数量</w:t>
            </w:r>
          </w:p>
        </w:tc>
        <w:tc>
          <w:tcPr>
            <w:tcW w:w="522"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2" w:hRule="atLeast"/>
          <w:jc w:val="center"/>
        </w:trPr>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三、本年度办理结果</w:t>
            </w:r>
          </w:p>
        </w:tc>
        <w:tc>
          <w:tcPr>
            <w:tcW w:w="3505"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（一）予以公开</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3505"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（二）部分公开（区分处理的，只计这一情形，不计其他情形）</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（三）不予 公开</w:t>
            </w: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1.属于国家秘密</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2.其他法律行政法规禁止公开</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3.危及“三安全一稳定”</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4.保护第三方合法权益</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5.属于三类内部事务信息</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6.属于四类过程性信息</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7.属于行政执法案卷</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8.属于行政查询事项</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（四）无法 提供</w:t>
            </w: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1.本机关不掌握相关政府信息</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2.没有现成信息需要另行制作</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3.补正后申请内容仍不明确</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（五）不予 处理</w:t>
            </w: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1.信访举报投诉类申请</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2.重复申请</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3.要求提供公开出版物</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4.无正当理由大量反复申请</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56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2938"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5.要求行政机关确认或重新出具已获取信息</w:t>
            </w:r>
          </w:p>
        </w:tc>
        <w:tc>
          <w:tcPr>
            <w:tcW w:w="522"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3505"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（六）其他处理</w:t>
            </w:r>
          </w:p>
        </w:tc>
        <w:tc>
          <w:tcPr>
            <w:tcW w:w="522"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left"/>
              <w:rPr>
                <w:rFonts w:ascii="微软雅黑" w:hAnsi="微软雅黑" w:eastAsia="微软雅黑" w:cs="宋体"/>
                <w:color w:val="333333"/>
                <w:kern w:val="0"/>
                <w:sz w:val="18"/>
                <w:szCs w:val="18"/>
              </w:rPr>
            </w:pPr>
          </w:p>
        </w:tc>
        <w:tc>
          <w:tcPr>
            <w:tcW w:w="3505"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（七）总计</w:t>
            </w:r>
          </w:p>
        </w:tc>
        <w:tc>
          <w:tcPr>
            <w:tcW w:w="522"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2" w:hRule="atLeast"/>
          <w:jc w:val="center"/>
        </w:trPr>
        <w:tc>
          <w:tcPr>
            <w:tcW w:w="4214"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四、结转下年度继续办理</w:t>
            </w:r>
          </w:p>
        </w:tc>
        <w:tc>
          <w:tcPr>
            <w:tcW w:w="522"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vAlign w:val="center"/>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60"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477"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c>
          <w:tcPr>
            <w:tcW w:w="525" w:type="dxa"/>
            <w:tcBorders>
              <w:top w:val="single" w:color="000000" w:sz="6" w:space="0"/>
              <w:left w:val="single" w:color="000000" w:sz="6" w:space="0"/>
              <w:bottom w:val="single" w:color="000000" w:sz="6" w:space="0"/>
              <w:right w:val="single" w:color="000000" w:sz="6" w:space="0"/>
            </w:tcBorders>
          </w:tcPr>
          <w:p>
            <w:pPr>
              <w:widowControl/>
              <w:spacing w:line="312" w:lineRule="auto"/>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0</w:t>
            </w:r>
          </w:p>
        </w:tc>
      </w:tr>
    </w:tbl>
    <w:p>
      <w:pPr>
        <w:widowControl/>
        <w:shd w:val="clear" w:color="auto" w:fill="FFFFFF"/>
        <w:spacing w:line="640" w:lineRule="exact"/>
        <w:ind w:firstLine="645"/>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hint="eastAsia" w:ascii="黑体" w:hAnsi="黑体" w:eastAsia="黑体"/>
          <w:bCs/>
          <w:color w:val="333333"/>
          <w:sz w:val="32"/>
          <w:szCs w:val="32"/>
        </w:rPr>
        <w:t>政府信息公开行政复议、行政诉讼情况</w:t>
      </w:r>
    </w:p>
    <w:tbl>
      <w:tblPr>
        <w:tblStyle w:val="5"/>
        <w:tblW w:w="777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16"/>
        <w:gridCol w:w="516"/>
        <w:gridCol w:w="522"/>
        <w:gridCol w:w="522"/>
        <w:gridCol w:w="436"/>
        <w:gridCol w:w="526"/>
        <w:gridCol w:w="526"/>
        <w:gridCol w:w="526"/>
        <w:gridCol w:w="526"/>
        <w:gridCol w:w="528"/>
        <w:gridCol w:w="526"/>
        <w:gridCol w:w="526"/>
        <w:gridCol w:w="526"/>
        <w:gridCol w:w="526"/>
        <w:gridCol w:w="52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2" w:hRule="atLeast"/>
          <w:jc w:val="center"/>
        </w:trPr>
        <w:tc>
          <w:tcPr>
            <w:tcW w:w="2513" w:type="dxa"/>
            <w:gridSpan w:val="5"/>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行政复议</w:t>
            </w:r>
          </w:p>
        </w:tc>
        <w:tc>
          <w:tcPr>
            <w:tcW w:w="5262" w:type="dxa"/>
            <w:gridSpan w:val="10"/>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行政诉讼</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517"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果</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维</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持</w:t>
            </w:r>
          </w:p>
        </w:tc>
        <w:tc>
          <w:tcPr>
            <w:tcW w:w="516"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果</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纠</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正</w:t>
            </w:r>
          </w:p>
        </w:tc>
        <w:tc>
          <w:tcPr>
            <w:tcW w:w="522"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其</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他</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果</w:t>
            </w:r>
          </w:p>
        </w:tc>
        <w:tc>
          <w:tcPr>
            <w:tcW w:w="522"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尚</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未</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审</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tc>
        <w:tc>
          <w:tcPr>
            <w:tcW w:w="435"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总计</w:t>
            </w:r>
          </w:p>
        </w:tc>
        <w:tc>
          <w:tcPr>
            <w:tcW w:w="2631" w:type="dxa"/>
            <w:gridSpan w:val="5"/>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未经复议直接起诉</w:t>
            </w:r>
          </w:p>
        </w:tc>
        <w:tc>
          <w:tcPr>
            <w:tcW w:w="2632" w:type="dxa"/>
            <w:gridSpan w:val="5"/>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复议后起诉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66" w:hRule="atLeast"/>
          <w:jc w:val="center"/>
        </w:trPr>
        <w:tc>
          <w:tcPr>
            <w:tcW w:w="517"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微软雅黑" w:hAnsi="微软雅黑" w:eastAsia="微软雅黑" w:cs="宋体"/>
                <w:color w:val="333333"/>
                <w:kern w:val="0"/>
                <w:sz w:val="20"/>
                <w:szCs w:val="20"/>
              </w:rPr>
            </w:pPr>
          </w:p>
        </w:tc>
        <w:tc>
          <w:tcPr>
            <w:tcW w:w="516"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微软雅黑" w:hAnsi="微软雅黑" w:eastAsia="微软雅黑" w:cs="宋体"/>
                <w:color w:val="333333"/>
                <w:kern w:val="0"/>
                <w:sz w:val="20"/>
                <w:szCs w:val="20"/>
              </w:rPr>
            </w:pPr>
          </w:p>
        </w:tc>
        <w:tc>
          <w:tcPr>
            <w:tcW w:w="52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微软雅黑" w:hAnsi="微软雅黑" w:eastAsia="微软雅黑" w:cs="宋体"/>
                <w:color w:val="333333"/>
                <w:kern w:val="0"/>
                <w:sz w:val="20"/>
                <w:szCs w:val="20"/>
              </w:rPr>
            </w:pPr>
          </w:p>
        </w:tc>
        <w:tc>
          <w:tcPr>
            <w:tcW w:w="52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微软雅黑" w:hAnsi="微软雅黑" w:eastAsia="微软雅黑" w:cs="宋体"/>
                <w:color w:val="333333"/>
                <w:kern w:val="0"/>
                <w:sz w:val="20"/>
                <w:szCs w:val="20"/>
              </w:rPr>
            </w:pPr>
          </w:p>
        </w:tc>
        <w:tc>
          <w:tcPr>
            <w:tcW w:w="43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微软雅黑" w:hAnsi="微软雅黑" w:eastAsia="微软雅黑" w:cs="宋体"/>
                <w:color w:val="333333"/>
                <w:kern w:val="0"/>
                <w:sz w:val="20"/>
                <w:szCs w:val="20"/>
              </w:rPr>
            </w:pP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果</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维</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持</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果</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纠</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正</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其</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他</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果</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尚</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未</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审</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tc>
        <w:tc>
          <w:tcPr>
            <w:tcW w:w="52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总</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计</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果</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维</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持</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果</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纠</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正</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其</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他</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果</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尚</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未</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审</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结</w:t>
            </w:r>
          </w:p>
        </w:tc>
        <w:tc>
          <w:tcPr>
            <w:tcW w:w="529"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总</w:t>
            </w:r>
          </w:p>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51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1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2"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2"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4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c>
          <w:tcPr>
            <w:tcW w:w="529"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0</w:t>
            </w:r>
          </w:p>
        </w:tc>
      </w:tr>
    </w:tbl>
    <w:p>
      <w:pPr>
        <w:widowControl/>
        <w:shd w:val="clear" w:color="auto" w:fill="FFFFFF"/>
        <w:spacing w:line="640" w:lineRule="exact"/>
        <w:ind w:firstLine="640" w:firstLineChars="200"/>
        <w:jc w:val="left"/>
        <w:rPr>
          <w:rFonts w:ascii="仿宋" w:hAnsi="仿宋" w:eastAsia="仿宋"/>
          <w:color w:val="000000"/>
          <w:sz w:val="32"/>
          <w:szCs w:val="32"/>
        </w:rPr>
      </w:pPr>
      <w:r>
        <w:rPr>
          <w:rFonts w:hint="eastAsia" w:ascii="黑体" w:hAnsi="黑体" w:eastAsia="黑体" w:cs="宋体"/>
          <w:color w:val="000000"/>
          <w:kern w:val="0"/>
          <w:sz w:val="32"/>
          <w:szCs w:val="32"/>
        </w:rPr>
        <w:t>五、</w:t>
      </w:r>
      <w:r>
        <w:rPr>
          <w:rFonts w:hint="eastAsia" w:ascii="黑体" w:hAnsi="黑体" w:eastAsia="黑体"/>
          <w:color w:val="000000"/>
          <w:sz w:val="32"/>
          <w:szCs w:val="32"/>
        </w:rPr>
        <w:t>存在的主要问题和改进措施</w:t>
      </w:r>
    </w:p>
    <w:p>
      <w:pPr>
        <w:widowControl/>
        <w:shd w:val="clear" w:color="auto" w:fill="FFFFFF"/>
        <w:spacing w:line="640" w:lineRule="exact"/>
        <w:ind w:firstLine="643" w:firstLineChars="200"/>
        <w:jc w:val="left"/>
        <w:rPr>
          <w:rFonts w:ascii="仿宋" w:hAnsi="仿宋" w:eastAsia="仿宋"/>
          <w:color w:val="000000"/>
          <w:sz w:val="32"/>
          <w:szCs w:val="32"/>
        </w:rPr>
      </w:pPr>
      <w:r>
        <w:rPr>
          <w:rFonts w:hint="eastAsia" w:ascii="仿宋" w:hAnsi="仿宋" w:eastAsia="仿宋"/>
          <w:b/>
          <w:bCs/>
          <w:color w:val="000000"/>
          <w:sz w:val="32"/>
          <w:szCs w:val="32"/>
        </w:rPr>
        <w:t>存在的主要问题：</w:t>
      </w:r>
      <w:r>
        <w:rPr>
          <w:rFonts w:hint="eastAsia" w:ascii="仿宋" w:hAnsi="仿宋" w:eastAsia="仿宋"/>
          <w:color w:val="000000"/>
          <w:sz w:val="32"/>
          <w:szCs w:val="32"/>
        </w:rPr>
        <w:t>2020年，我局的政府信息公开工作取得了一定成效，但与公众的需求还存在一定的差距，如信息公开机制有待进一步完善，内容有待进一步深化，形式有待进一步拓展；主动公开政府信息的时效性及与群众交流互动有待进一步提高等。针对这些问题，我们将在今后工作中认真加以解决，以满足群众对政府信息公开日益增长的需求。</w:t>
      </w:r>
    </w:p>
    <w:p>
      <w:pPr>
        <w:widowControl/>
        <w:shd w:val="clear" w:color="auto" w:fill="FFFFFF"/>
        <w:spacing w:line="640" w:lineRule="exact"/>
        <w:ind w:firstLine="643" w:firstLineChars="200"/>
        <w:jc w:val="left"/>
        <w:rPr>
          <w:rFonts w:ascii="仿宋" w:hAnsi="仿宋" w:eastAsia="仿宋"/>
          <w:color w:val="000000"/>
          <w:sz w:val="32"/>
          <w:szCs w:val="32"/>
        </w:rPr>
      </w:pPr>
      <w:r>
        <w:rPr>
          <w:rFonts w:hint="eastAsia" w:ascii="仿宋" w:hAnsi="仿宋" w:eastAsia="仿宋"/>
          <w:b/>
          <w:bCs/>
          <w:color w:val="000000"/>
          <w:sz w:val="32"/>
          <w:szCs w:val="32"/>
        </w:rPr>
        <w:t>改进措施：</w:t>
      </w:r>
      <w:r>
        <w:rPr>
          <w:rFonts w:hint="eastAsia" w:ascii="仿宋" w:hAnsi="仿宋" w:eastAsia="仿宋"/>
          <w:color w:val="000000"/>
          <w:sz w:val="32"/>
          <w:szCs w:val="32"/>
        </w:rPr>
        <w:t>为不断提升我局政府信息公开工作水平，我局将重点做好以下几方面工作：</w:t>
      </w:r>
    </w:p>
    <w:p>
      <w:pPr>
        <w:pStyle w:val="7"/>
        <w:spacing w:before="0" w:beforeAutospacing="0" w:after="0" w:afterAutospacing="0" w:line="640" w:lineRule="exact"/>
        <w:ind w:firstLine="736"/>
        <w:rPr>
          <w:rFonts w:ascii="仿宋" w:hAnsi="仿宋" w:eastAsia="仿宋"/>
          <w:color w:val="000000"/>
          <w:sz w:val="32"/>
          <w:szCs w:val="32"/>
        </w:rPr>
      </w:pPr>
      <w:r>
        <w:rPr>
          <w:rFonts w:hint="eastAsia" w:ascii="仿宋" w:hAnsi="仿宋" w:eastAsia="仿宋"/>
          <w:b/>
          <w:color w:val="000000"/>
          <w:sz w:val="32"/>
          <w:szCs w:val="32"/>
        </w:rPr>
        <w:t>一是</w:t>
      </w:r>
      <w:r>
        <w:rPr>
          <w:rFonts w:hint="eastAsia" w:ascii="仿宋" w:hAnsi="仿宋" w:eastAsia="仿宋"/>
          <w:color w:val="000000"/>
          <w:sz w:val="32"/>
          <w:szCs w:val="32"/>
        </w:rPr>
        <w:t>不断健全完善我局政府信息公开工作机制，深化政府信息公开工作，克服工作中的薄弱环节，不断提高政府信息公开工作质量，切实做好信息的更新维护和规范化管理，确保政府信息公开工作长效运行。</w:t>
      </w:r>
    </w:p>
    <w:p>
      <w:pPr>
        <w:pStyle w:val="7"/>
        <w:spacing w:before="0" w:beforeAutospacing="0" w:after="0" w:afterAutospacing="0" w:line="640" w:lineRule="exact"/>
        <w:ind w:firstLine="736"/>
        <w:rPr>
          <w:rFonts w:ascii="仿宋" w:hAnsi="仿宋" w:eastAsia="仿宋" w:cs="Times New Roman"/>
          <w:color w:val="3D3D3D"/>
          <w:sz w:val="32"/>
          <w:szCs w:val="32"/>
        </w:rPr>
      </w:pPr>
      <w:r>
        <w:rPr>
          <w:rFonts w:hint="eastAsia" w:ascii="仿宋" w:hAnsi="仿宋" w:eastAsia="仿宋"/>
          <w:b/>
          <w:color w:val="000000"/>
          <w:sz w:val="32"/>
          <w:szCs w:val="32"/>
        </w:rPr>
        <w:t>二是</w:t>
      </w:r>
      <w:r>
        <w:rPr>
          <w:rFonts w:hint="eastAsia" w:ascii="仿宋" w:hAnsi="仿宋" w:eastAsia="仿宋"/>
          <w:color w:val="000000"/>
          <w:sz w:val="32"/>
          <w:szCs w:val="32"/>
        </w:rPr>
        <w:t>紧紧围绕广大群众关注的热点、难点问题，加大相关政府信息公开的力度，更好地为公众提供优质的政府信息服务,</w:t>
      </w:r>
      <w:r>
        <w:rPr>
          <w:rFonts w:hint="eastAsia" w:ascii="仿宋" w:hAnsi="仿宋" w:eastAsia="仿宋" w:cs="Times New Roman"/>
          <w:color w:val="3D3D3D"/>
          <w:sz w:val="32"/>
          <w:szCs w:val="32"/>
        </w:rPr>
        <w:t xml:space="preserve"> </w:t>
      </w:r>
      <w:r>
        <w:rPr>
          <w:rFonts w:hint="eastAsia" w:ascii="仿宋" w:hAnsi="仿宋" w:eastAsia="仿宋"/>
          <w:sz w:val="32"/>
          <w:szCs w:val="32"/>
        </w:rPr>
        <w:t>使政府信息公开成为贴近和帮助老百姓解决实际问题的助推剂，成为政府沟通老百姓的连心桥，</w:t>
      </w:r>
      <w:r>
        <w:rPr>
          <w:rFonts w:hint="eastAsia" w:ascii="仿宋" w:hAnsi="仿宋" w:eastAsia="仿宋"/>
          <w:color w:val="000000"/>
          <w:sz w:val="32"/>
          <w:szCs w:val="32"/>
        </w:rPr>
        <w:t>推动民政事业持续健康发展，</w:t>
      </w:r>
      <w:r>
        <w:rPr>
          <w:rFonts w:hint="eastAsia" w:ascii="仿宋" w:hAnsi="仿宋" w:eastAsia="仿宋"/>
          <w:sz w:val="32"/>
          <w:szCs w:val="32"/>
        </w:rPr>
        <w:t>为全县政府信息公开工作再上一个新台阶提供保障。</w:t>
      </w:r>
      <w:r>
        <w:rPr>
          <w:rFonts w:ascii="仿宋" w:hAnsi="仿宋" w:eastAsia="仿宋" w:cs="Times New Roman"/>
          <w:color w:val="3D3D3D"/>
          <w:sz w:val="32"/>
          <w:szCs w:val="32"/>
        </w:rPr>
        <w:t xml:space="preserve"> </w:t>
      </w:r>
    </w:p>
    <w:p>
      <w:pPr>
        <w:pStyle w:val="7"/>
        <w:spacing w:before="0" w:beforeAutospacing="0" w:after="0" w:afterAutospacing="0" w:line="640" w:lineRule="exact"/>
        <w:ind w:firstLine="736"/>
        <w:rPr>
          <w:rFonts w:ascii="仿宋" w:hAnsi="仿宋" w:eastAsia="仿宋"/>
          <w:color w:val="000000"/>
          <w:sz w:val="32"/>
          <w:szCs w:val="32"/>
        </w:rPr>
      </w:pPr>
      <w:r>
        <w:rPr>
          <w:rFonts w:hint="eastAsia" w:ascii="仿宋" w:hAnsi="仿宋" w:eastAsia="仿宋"/>
          <w:b/>
          <w:color w:val="000000"/>
          <w:sz w:val="32"/>
          <w:szCs w:val="32"/>
        </w:rPr>
        <w:t>三是</w:t>
      </w:r>
      <w:r>
        <w:rPr>
          <w:rFonts w:hint="eastAsia" w:ascii="仿宋" w:hAnsi="仿宋" w:eastAsia="仿宋"/>
          <w:color w:val="000000"/>
          <w:sz w:val="32"/>
          <w:szCs w:val="32"/>
        </w:rPr>
        <w:t>进一步加强对基层民政委员会政府信息公开工作的指导，通过抓基层、抓基础工作，做到统筹规划，保障信息公开工作的统一性和协调性。</w:t>
      </w:r>
    </w:p>
    <w:p>
      <w:pPr>
        <w:pStyle w:val="4"/>
        <w:shd w:val="clear" w:color="auto" w:fill="FFFFFF"/>
        <w:spacing w:before="0" w:beforeAutospacing="0" w:after="0" w:afterAutospacing="0" w:line="640"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其他需要报告的事项</w:t>
      </w:r>
    </w:p>
    <w:p>
      <w:pPr>
        <w:pStyle w:val="4"/>
        <w:shd w:val="clear" w:color="auto" w:fill="FFFFFF"/>
        <w:spacing w:before="0" w:beforeAutospacing="0" w:after="0" w:afterAutospacing="0" w:line="640" w:lineRule="exact"/>
        <w:rPr>
          <w:rFonts w:ascii="仿宋" w:hAnsi="仿宋" w:eastAsia="仿宋"/>
          <w:sz w:val="32"/>
          <w:szCs w:val="32"/>
        </w:rPr>
      </w:pPr>
      <w:r>
        <w:rPr>
          <w:rFonts w:ascii="仿宋" w:hAnsi="仿宋" w:eastAsia="仿宋"/>
          <w:sz w:val="32"/>
          <w:szCs w:val="32"/>
        </w:rPr>
        <w:t>　　无其他需要报告的事项。</w:t>
      </w:r>
    </w:p>
    <w:bookmarkEnd w:id="0"/>
    <w:p>
      <w:pPr>
        <w:spacing w:line="640" w:lineRule="exact"/>
        <w:jc w:val="right"/>
        <w:rPr>
          <w:rFonts w:ascii="仿宋" w:hAnsi="仿宋" w:eastAsia="仿宋"/>
          <w:sz w:val="32"/>
          <w:szCs w:val="32"/>
        </w:rPr>
      </w:pPr>
    </w:p>
    <w:p>
      <w:pPr>
        <w:spacing w:line="640" w:lineRule="exact"/>
        <w:jc w:val="right"/>
        <w:rPr>
          <w:rFonts w:ascii="仿宋" w:hAnsi="仿宋" w:eastAsia="仿宋"/>
          <w:sz w:val="32"/>
          <w:szCs w:val="32"/>
        </w:rPr>
      </w:pPr>
    </w:p>
    <w:p>
      <w:pPr>
        <w:spacing w:line="640" w:lineRule="exact"/>
        <w:jc w:val="right"/>
        <w:rPr>
          <w:rFonts w:ascii="仿宋" w:hAnsi="仿宋" w:eastAsia="仿宋"/>
          <w:sz w:val="32"/>
          <w:szCs w:val="32"/>
        </w:rPr>
      </w:pPr>
    </w:p>
    <w:p>
      <w:pPr>
        <w:spacing w:line="640" w:lineRule="exact"/>
        <w:jc w:val="right"/>
        <w:rPr>
          <w:rFonts w:ascii="仿宋" w:hAnsi="仿宋" w:eastAsia="仿宋"/>
          <w:sz w:val="32"/>
          <w:szCs w:val="32"/>
        </w:rPr>
      </w:pPr>
      <w:r>
        <w:rPr>
          <w:rFonts w:hint="eastAsia" w:ascii="仿宋" w:hAnsi="仿宋" w:eastAsia="仿宋"/>
          <w:sz w:val="32"/>
          <w:szCs w:val="32"/>
        </w:rPr>
        <w:t>2021年1月28日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7CF8"/>
    <w:rsid w:val="00023FE7"/>
    <w:rsid w:val="00073BC4"/>
    <w:rsid w:val="000F0460"/>
    <w:rsid w:val="00105D70"/>
    <w:rsid w:val="00126271"/>
    <w:rsid w:val="001A36BF"/>
    <w:rsid w:val="001C5961"/>
    <w:rsid w:val="001F2F96"/>
    <w:rsid w:val="00243443"/>
    <w:rsid w:val="00280FF6"/>
    <w:rsid w:val="002C0DDD"/>
    <w:rsid w:val="002D726C"/>
    <w:rsid w:val="003337B0"/>
    <w:rsid w:val="0037188F"/>
    <w:rsid w:val="003D5343"/>
    <w:rsid w:val="0049471A"/>
    <w:rsid w:val="004B4727"/>
    <w:rsid w:val="004B6192"/>
    <w:rsid w:val="00517CF8"/>
    <w:rsid w:val="005C46B1"/>
    <w:rsid w:val="006C30A2"/>
    <w:rsid w:val="006E6E84"/>
    <w:rsid w:val="007F0C27"/>
    <w:rsid w:val="007F1517"/>
    <w:rsid w:val="008450C3"/>
    <w:rsid w:val="008775A5"/>
    <w:rsid w:val="008851CC"/>
    <w:rsid w:val="008A2A38"/>
    <w:rsid w:val="008C737D"/>
    <w:rsid w:val="008D33C3"/>
    <w:rsid w:val="009616C4"/>
    <w:rsid w:val="00962B2E"/>
    <w:rsid w:val="009A143C"/>
    <w:rsid w:val="009A1FD1"/>
    <w:rsid w:val="009E099D"/>
    <w:rsid w:val="00A31E8D"/>
    <w:rsid w:val="00A909F3"/>
    <w:rsid w:val="00AA5E61"/>
    <w:rsid w:val="00AE45E4"/>
    <w:rsid w:val="00AF17C7"/>
    <w:rsid w:val="00B477EE"/>
    <w:rsid w:val="00B70072"/>
    <w:rsid w:val="00BB4FED"/>
    <w:rsid w:val="00BC13EB"/>
    <w:rsid w:val="00BD4640"/>
    <w:rsid w:val="00C65B21"/>
    <w:rsid w:val="00CB2339"/>
    <w:rsid w:val="00D60204"/>
    <w:rsid w:val="00DA22EC"/>
    <w:rsid w:val="00DE358C"/>
    <w:rsid w:val="00E03E6F"/>
    <w:rsid w:val="00E22164"/>
    <w:rsid w:val="00E3454F"/>
    <w:rsid w:val="00E7359B"/>
    <w:rsid w:val="00ED6C31"/>
    <w:rsid w:val="00FB7D9F"/>
    <w:rsid w:val="6C354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customStyle="1" w:styleId="7">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6"/>
    <w:link w:val="3"/>
    <w:uiPriority w:val="0"/>
    <w:rPr>
      <w:kern w:val="2"/>
      <w:sz w:val="18"/>
      <w:szCs w:val="18"/>
    </w:rPr>
  </w:style>
  <w:style w:type="character" w:customStyle="1" w:styleId="9">
    <w:name w:val="页脚 Char"/>
    <w:basedOn w:val="6"/>
    <w:link w:val="2"/>
    <w:uiPriority w:val="0"/>
    <w:rPr>
      <w:kern w:val="2"/>
      <w:sz w:val="18"/>
      <w:szCs w:val="18"/>
    </w:rPr>
  </w:style>
  <w:style w:type="character" w:customStyle="1" w:styleId="10">
    <w:name w:val="style11"/>
    <w:basedOn w:val="6"/>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Pages>
  <Words>438</Words>
  <Characters>2500</Characters>
  <Lines>20</Lines>
  <Paragraphs>5</Paragraphs>
  <TotalTime>1</TotalTime>
  <ScaleCrop>false</ScaleCrop>
  <LinksUpToDate>false</LinksUpToDate>
  <CharactersWithSpaces>2933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2021-01-28T01:14:00Z</dcterms:created>
  <dc:creator>User</dc:creator>
  <cp:lastModifiedBy>坦然</cp:lastModifiedBy>
  <dcterms:modified xsi:type="dcterms:W3CDTF">2025-03-28T09:57:37Z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