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spacing w:line="630" w:lineRule="exact"/>
        <w:jc w:val="center"/>
        <w:rPr>
          <w:rFonts w:hint="eastAsia" w:ascii="华文中宋" w:hAnsi="华文中宋" w:eastAsia="华文中宋" w:cs="华文中宋"/>
          <w:b/>
          <w:bCs/>
          <w:color w:val="000000" w:themeColor="text1"/>
          <w:spacing w:val="0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华文中宋" w:hAnsi="华文中宋" w:eastAsia="华文中宋" w:cs="华文中宋"/>
          <w:b/>
          <w:bCs/>
          <w:color w:val="000000" w:themeColor="text1"/>
          <w:spacing w:val="0"/>
          <w:kern w:val="0"/>
          <w:sz w:val="44"/>
          <w:szCs w:val="44"/>
          <w:fitText w:val="2592" w:id="0"/>
          <w14:textFill>
            <w14:solidFill>
              <w14:schemeClr w14:val="tx1"/>
            </w14:solidFill>
          </w14:textFill>
        </w:rPr>
        <w:t>隰县</w:t>
      </w:r>
      <w:r>
        <w:rPr>
          <w:rFonts w:hint="eastAsia" w:ascii="华文中宋" w:hAnsi="华文中宋" w:eastAsia="华文中宋" w:cs="华文中宋"/>
          <w:b/>
          <w:bCs/>
          <w:color w:val="000000" w:themeColor="text1"/>
          <w:spacing w:val="0"/>
          <w:kern w:val="0"/>
          <w:sz w:val="44"/>
          <w:szCs w:val="44"/>
          <w:fitText w:val="2592" w:id="0"/>
          <w:lang w:eastAsia="zh-CN"/>
          <w14:textFill>
            <w14:solidFill>
              <w14:schemeClr w14:val="tx1"/>
            </w14:solidFill>
          </w14:textFill>
        </w:rPr>
        <w:t>人力资源和社会保障</w:t>
      </w:r>
      <w:r>
        <w:rPr>
          <w:rFonts w:hint="eastAsia" w:ascii="华文中宋" w:hAnsi="华文中宋" w:eastAsia="华文中宋" w:cs="华文中宋"/>
          <w:b/>
          <w:bCs/>
          <w:color w:val="000000" w:themeColor="text1"/>
          <w:spacing w:val="0"/>
          <w:kern w:val="0"/>
          <w:sz w:val="44"/>
          <w:szCs w:val="44"/>
          <w:fitText w:val="2592" w:id="0"/>
          <w14:textFill>
            <w14:solidFill>
              <w14:schemeClr w14:val="tx1"/>
            </w14:solidFill>
          </w14:textFill>
        </w:rPr>
        <w:t>局</w:t>
      </w:r>
    </w:p>
    <w:p>
      <w:pPr>
        <w:spacing w:line="630" w:lineRule="exact"/>
        <w:jc w:val="center"/>
        <w:rPr>
          <w:rFonts w:hint="eastAsia" w:ascii="宋体" w:hAnsi="宋体" w:eastAsia="宋体" w:cs="宋体"/>
          <w:i w:val="0"/>
          <w:caps w:val="0"/>
          <w:color w:val="000000" w:themeColor="text1"/>
          <w:spacing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华文中宋" w:hAnsi="华文中宋" w:eastAsia="华文中宋" w:cs="华文中宋"/>
          <w:b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20</w:t>
      </w:r>
      <w:r>
        <w:rPr>
          <w:rFonts w:hint="eastAsia" w:ascii="华文中宋" w:hAnsi="华文中宋" w:eastAsia="华文中宋" w:cs="华文中宋"/>
          <w:b/>
          <w:bCs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20</w:t>
      </w:r>
      <w:r>
        <w:rPr>
          <w:rFonts w:hint="eastAsia" w:ascii="华文中宋" w:hAnsi="华文中宋" w:eastAsia="华文中宋" w:cs="华文中宋"/>
          <w:b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年政府信息公开年度报告</w:t>
      </w:r>
    </w:p>
    <w:p>
      <w:pPr>
        <w:rPr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/>
          <w:i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一、总体情况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640" w:firstLineChars="200"/>
        <w:jc w:val="both"/>
        <w:textAlignment w:val="auto"/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2020年，在县委县政府的坚强领导下，我们认真贯彻落实《中华人民共和国政府信息公开条例》，加强对人社信息公开工作的领导，健全人社信息公开工作制度，完善人社信息发布和监督检查机制，依法公开各类信息，主动接受社会监督，政府信息公开工作规范有序开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_GB2312" w:eastAsia="仿宋_GB2312" w:hAnsiTheme="minorHAnsi" w:cstheme="minorBidi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hAnsiTheme="minorHAnsi" w:cstheme="minorBidi"/>
          <w:b w:val="0"/>
          <w:bCs w:val="0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一是加强组织领导</w:t>
      </w:r>
      <w:r>
        <w:rPr>
          <w:rFonts w:hint="eastAsia" w:ascii="仿宋_GB2312" w:eastAsia="仿宋_GB2312" w:hAnsiTheme="minorHAnsi" w:cstheme="minorBidi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仿宋_GB2312" w:eastAsia="仿宋_GB2312" w:cstheme="minorBidi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工作中，我们坚持</w:t>
      </w:r>
      <w:r>
        <w:rPr>
          <w:rFonts w:hint="eastAsia" w:ascii="仿宋_GB2312" w:eastAsia="仿宋_GB2312" w:hAnsiTheme="minorHAnsi" w:cstheme="minorBidi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把政府信息公开工作纳入年度</w:t>
      </w:r>
      <w:r>
        <w:rPr>
          <w:rFonts w:hint="eastAsia" w:ascii="仿宋_GB2312" w:eastAsia="仿宋_GB2312" w:cstheme="minorBidi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重点工作</w:t>
      </w:r>
      <w:r>
        <w:rPr>
          <w:rFonts w:hint="eastAsia" w:ascii="仿宋_GB2312" w:eastAsia="仿宋_GB2312" w:hAnsiTheme="minorHAnsi" w:cstheme="minorBidi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_GB2312" w:eastAsia="仿宋_GB2312" w:cstheme="minorBidi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根据职责分工，</w:t>
      </w:r>
      <w:r>
        <w:rPr>
          <w:rFonts w:hint="eastAsia" w:ascii="仿宋_GB2312" w:eastAsia="仿宋_GB2312" w:hAnsiTheme="minorHAnsi" w:cstheme="minorBidi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调整</w:t>
      </w:r>
      <w:r>
        <w:rPr>
          <w:rFonts w:hint="eastAsia" w:ascii="仿宋_GB2312" w:eastAsia="仿宋_GB2312" w:cstheme="minorBidi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充实</w:t>
      </w:r>
      <w:r>
        <w:rPr>
          <w:rFonts w:hint="eastAsia" w:ascii="仿宋_GB2312" w:eastAsia="仿宋_GB2312" w:hAnsiTheme="minorHAnsi" w:cstheme="minorBidi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了</w:t>
      </w:r>
      <w:r>
        <w:rPr>
          <w:rFonts w:hint="eastAsia" w:ascii="仿宋_GB2312" w:eastAsia="仿宋_GB2312" w:cstheme="minorBidi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局</w:t>
      </w:r>
      <w:r>
        <w:rPr>
          <w:rFonts w:hint="eastAsia" w:ascii="仿宋_GB2312" w:eastAsia="仿宋_GB2312" w:hAnsiTheme="minorHAnsi" w:cstheme="minorBidi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政府信息公开领导小组及办公室成员，</w:t>
      </w:r>
      <w:r>
        <w:rPr>
          <w:rFonts w:hint="eastAsia" w:ascii="仿宋_GB2312" w:eastAsia="仿宋_GB2312" w:cstheme="minorBidi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局班子成员分工负责，各中心科室各负其责，领导组办公室督促检查，</w:t>
      </w:r>
      <w:r>
        <w:rPr>
          <w:rFonts w:hint="eastAsia" w:ascii="仿宋_GB2312" w:eastAsia="仿宋_GB2312" w:hAnsiTheme="minorHAnsi" w:cstheme="minorBidi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形成了一级抓一级、层层抓落实的工作机制。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_GB2312" w:eastAsia="仿宋_GB2312" w:hAnsiTheme="minorHAnsi" w:cstheme="minorBidi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hAnsiTheme="minorHAnsi" w:cstheme="minorBidi"/>
          <w:b w:val="0"/>
          <w:bCs w:val="0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二是</w:t>
      </w:r>
      <w:r>
        <w:rPr>
          <w:rFonts w:hint="eastAsia" w:ascii="仿宋_GB2312" w:eastAsia="仿宋_GB2312" w:cstheme="minorBidi"/>
          <w:b w:val="0"/>
          <w:bCs w:val="0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明确</w:t>
      </w:r>
      <w:r>
        <w:rPr>
          <w:rFonts w:hint="eastAsia" w:ascii="仿宋_GB2312" w:eastAsia="仿宋_GB2312" w:hAnsiTheme="minorHAnsi" w:cstheme="minorBidi"/>
          <w:b w:val="0"/>
          <w:bCs w:val="0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工作职责。</w:t>
      </w:r>
      <w:r>
        <w:rPr>
          <w:rFonts w:hint="eastAsia" w:ascii="仿宋_GB2312" w:eastAsia="仿宋_GB2312" w:hAnsiTheme="minorHAnsi" w:cstheme="minorBidi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为把政府信息公开工作落到实处，根据20</w:t>
      </w:r>
      <w:r>
        <w:rPr>
          <w:rFonts w:hint="eastAsia" w:ascii="仿宋_GB2312" w:eastAsia="仿宋_GB2312" w:cstheme="minorBidi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20</w:t>
      </w:r>
      <w:r>
        <w:rPr>
          <w:rFonts w:hint="eastAsia" w:ascii="仿宋_GB2312" w:eastAsia="仿宋_GB2312" w:hAnsiTheme="minorHAnsi" w:cstheme="minorBidi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年度全县</w:t>
      </w:r>
      <w:r>
        <w:rPr>
          <w:rFonts w:hint="eastAsia" w:ascii="仿宋_GB2312" w:eastAsia="仿宋_GB2312" w:cstheme="minorBidi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政务公开</w:t>
      </w:r>
      <w:r>
        <w:rPr>
          <w:rFonts w:hint="eastAsia" w:ascii="仿宋_GB2312" w:eastAsia="仿宋_GB2312" w:hAnsiTheme="minorHAnsi" w:cstheme="minorBidi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工作要求，制定了</w:t>
      </w:r>
      <w:r>
        <w:rPr>
          <w:rFonts w:hint="eastAsia" w:ascii="仿宋_GB2312" w:eastAsia="仿宋_GB2312" w:cstheme="minorBidi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《</w:t>
      </w:r>
      <w:r>
        <w:rPr>
          <w:rFonts w:hint="eastAsia" w:ascii="仿宋_GB2312" w:eastAsia="仿宋_GB2312" w:hAnsiTheme="minorHAnsi" w:cstheme="minorBidi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隰县人力资源和社会保障局2020年政务公开工作实施方案</w:t>
      </w:r>
      <w:r>
        <w:rPr>
          <w:rFonts w:hint="eastAsia" w:ascii="仿宋_GB2312" w:eastAsia="仿宋_GB2312" w:cstheme="minorBidi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》，对</w:t>
      </w:r>
      <w:r>
        <w:rPr>
          <w:rFonts w:hint="eastAsia" w:ascii="仿宋_GB2312" w:eastAsia="仿宋_GB2312" w:hAnsiTheme="minorHAnsi" w:cstheme="minorBidi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人社</w:t>
      </w:r>
      <w:r>
        <w:rPr>
          <w:rFonts w:hint="eastAsia" w:ascii="仿宋_GB2312" w:eastAsia="仿宋_GB2312" w:cstheme="minorBidi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部门</w:t>
      </w:r>
      <w:r>
        <w:rPr>
          <w:rFonts w:hint="eastAsia" w:ascii="仿宋_GB2312" w:eastAsia="仿宋_GB2312" w:hAnsiTheme="minorHAnsi" w:cstheme="minorBidi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政府信息公开工作</w:t>
      </w:r>
      <w:r>
        <w:rPr>
          <w:rFonts w:hint="eastAsia" w:ascii="仿宋_GB2312" w:eastAsia="仿宋_GB2312" w:cstheme="minorBidi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进行安排部署</w:t>
      </w:r>
      <w:r>
        <w:rPr>
          <w:rFonts w:hint="eastAsia" w:ascii="仿宋_GB2312" w:eastAsia="仿宋_GB2312" w:hAnsiTheme="minorHAnsi" w:cstheme="minorBidi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仿宋_GB2312" w:eastAsia="仿宋_GB2312" w:cstheme="minorBidi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《</w:t>
      </w:r>
      <w:r>
        <w:rPr>
          <w:rFonts w:hint="eastAsia" w:ascii="仿宋_GB2312" w:eastAsia="仿宋_GB2312" w:hAnsiTheme="minorHAnsi" w:cstheme="minorBidi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实施方案</w:t>
      </w:r>
      <w:r>
        <w:rPr>
          <w:rFonts w:hint="eastAsia" w:ascii="仿宋_GB2312" w:eastAsia="仿宋_GB2312" w:cstheme="minorBidi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》</w:t>
      </w:r>
      <w:r>
        <w:rPr>
          <w:rFonts w:hint="eastAsia" w:ascii="仿宋_GB2312" w:eastAsia="仿宋_GB2312" w:hAnsiTheme="minorHAnsi" w:cstheme="minorBidi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结合工作实际，将政府信息公开任务分解细化，落实到各个中心、科室。对人社部门的</w:t>
      </w:r>
      <w:r>
        <w:rPr>
          <w:rFonts w:hint="eastAsia" w:ascii="仿宋_GB2312" w:eastAsia="仿宋_GB2312" w:cstheme="minorBidi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工作</w:t>
      </w:r>
      <w:r>
        <w:rPr>
          <w:rFonts w:hint="eastAsia" w:ascii="仿宋_GB2312" w:eastAsia="仿宋_GB2312" w:hAnsiTheme="minorHAnsi" w:cstheme="minorBidi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职责、内设机构</w:t>
      </w:r>
      <w:r>
        <w:rPr>
          <w:rFonts w:hint="eastAsia" w:ascii="仿宋_GB2312" w:eastAsia="仿宋_GB2312" w:cstheme="minorBidi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等基本情况以及就业创业、劳动关系、社会保险、人事人才等各项业务事项由各中心科室负责</w:t>
      </w:r>
      <w:r>
        <w:rPr>
          <w:rFonts w:hint="eastAsia" w:ascii="仿宋_GB2312" w:eastAsia="仿宋_GB2312" w:hAnsiTheme="minorHAnsi" w:cstheme="minorBidi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及时</w:t>
      </w:r>
      <w:r>
        <w:rPr>
          <w:rFonts w:hint="eastAsia" w:ascii="仿宋_GB2312" w:eastAsia="仿宋_GB2312" w:cstheme="minorBidi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予以</w:t>
      </w:r>
      <w:r>
        <w:rPr>
          <w:rFonts w:hint="eastAsia" w:ascii="仿宋_GB2312" w:eastAsia="仿宋_GB2312" w:hAnsiTheme="minorHAnsi" w:cstheme="minorBidi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公开。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right="0" w:firstLine="640" w:firstLineChars="200"/>
        <w:jc w:val="both"/>
        <w:textAlignment w:val="auto"/>
        <w:rPr>
          <w:rFonts w:hint="default" w:ascii="仿宋" w:hAnsi="仿宋" w:eastAsia="仿宋" w:cs="仿宋"/>
          <w:i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hAnsiTheme="minorHAnsi" w:cstheme="minorBidi"/>
          <w:b w:val="0"/>
          <w:bCs w:val="0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三是</w:t>
      </w:r>
      <w:r>
        <w:rPr>
          <w:rFonts w:hint="eastAsia" w:ascii="仿宋_GB2312" w:eastAsia="仿宋_GB2312" w:cstheme="minorBidi"/>
          <w:b w:val="0"/>
          <w:bCs w:val="0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抓好工作落实</w:t>
      </w:r>
      <w:r>
        <w:rPr>
          <w:rFonts w:hint="eastAsia" w:ascii="仿宋_GB2312" w:eastAsia="仿宋_GB2312" w:hAnsiTheme="minorHAnsi" w:cstheme="minorBidi"/>
          <w:b w:val="0"/>
          <w:bCs w:val="0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仿宋_GB2312" w:eastAsia="仿宋_GB2312" w:cstheme="minorBidi"/>
          <w:b w:val="0"/>
          <w:bCs w:val="0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工作中，我们坚持</w:t>
      </w:r>
      <w:r>
        <w:rPr>
          <w:rFonts w:hint="eastAsia" w:ascii="仿宋_GB2312" w:eastAsia="仿宋_GB2312" w:hAnsiTheme="minorHAnsi" w:cstheme="minorBidi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把县政府门户网站作为人社</w:t>
      </w:r>
      <w:r>
        <w:rPr>
          <w:rFonts w:hint="eastAsia" w:ascii="仿宋_GB2312" w:eastAsia="仿宋_GB2312" w:cstheme="minorBidi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政府</w:t>
      </w:r>
      <w:r>
        <w:rPr>
          <w:rFonts w:hint="eastAsia" w:ascii="仿宋_GB2312" w:eastAsia="仿宋_GB2312" w:hAnsiTheme="minorHAnsi" w:cstheme="minorBidi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信息公开的第一平台，</w:t>
      </w:r>
      <w:r>
        <w:rPr>
          <w:rFonts w:hint="eastAsia" w:ascii="仿宋_GB2312" w:eastAsia="仿宋_GB2312" w:cstheme="minorBidi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并</w:t>
      </w:r>
      <w:r>
        <w:rPr>
          <w:rFonts w:hint="eastAsia" w:ascii="仿宋_GB2312" w:eastAsia="仿宋_GB2312" w:cstheme="minorBidi"/>
          <w:b w:val="0"/>
          <w:bCs w:val="0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采取线上线下相结合的方式，</w:t>
      </w:r>
      <w:r>
        <w:rPr>
          <w:rFonts w:hint="eastAsia" w:ascii="仿宋_GB2312" w:eastAsia="仿宋_GB2312" w:cstheme="minorBidi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及时</w:t>
      </w:r>
      <w:r>
        <w:rPr>
          <w:rFonts w:hint="eastAsia" w:ascii="仿宋_GB2312" w:eastAsia="仿宋_GB2312" w:hAnsiTheme="minorHAnsi" w:cstheme="minorBidi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发布</w:t>
      </w:r>
      <w:r>
        <w:rPr>
          <w:rFonts w:hint="eastAsia" w:ascii="仿宋_GB2312" w:eastAsia="仿宋_GB2312" w:cstheme="minorBidi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全民技能提升培训、劳动用工需求、专业技术人员继续教育、职称评审、社保基金缴纳领取、失业保险援企稳岗、社保卡办理等相关信息</w:t>
      </w:r>
      <w:r>
        <w:rPr>
          <w:rFonts w:hint="eastAsia" w:ascii="仿宋_GB2312" w:eastAsia="仿宋_GB2312" w:hAnsiTheme="minorHAnsi" w:cstheme="minorBidi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_GB2312" w:eastAsia="仿宋_GB2312" w:cstheme="minorBidi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主动接受社会监督，推动各项工作健康有序开展</w:t>
      </w:r>
      <w:r>
        <w:rPr>
          <w:rFonts w:hint="eastAsia" w:ascii="仿宋_GB2312" w:eastAsia="仿宋_GB2312" w:hAnsiTheme="minorHAnsi" w:cstheme="minorBidi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仿宋_GB2312" w:eastAsia="仿宋_GB2312" w:cstheme="minorBidi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2020年，发布</w:t>
      </w:r>
      <w:r>
        <w:rPr>
          <w:rFonts w:hint="eastAsia" w:ascii="仿宋_GB2312" w:eastAsia="仿宋_GB2312" w:hAnsiTheme="minorHAnsi" w:cstheme="minorBidi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全民技能提升培训和招聘就业信息近40期</w:t>
      </w:r>
      <w:r>
        <w:rPr>
          <w:rFonts w:hint="eastAsia" w:ascii="仿宋_GB2312" w:eastAsia="仿宋_GB2312" w:cstheme="minorBidi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；公开公示</w:t>
      </w:r>
      <w:r>
        <w:rPr>
          <w:rFonts w:hint="eastAsia" w:ascii="仿宋_GB2312" w:eastAsia="仿宋_GB2312" w:hAnsiTheme="minorHAnsi" w:cstheme="minorBidi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特殊工种退休人员信息</w:t>
      </w:r>
      <w:r>
        <w:rPr>
          <w:rFonts w:hint="eastAsia" w:ascii="仿宋_GB2312" w:eastAsia="仿宋_GB2312" w:cstheme="minorBidi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9人</w:t>
      </w:r>
      <w:r>
        <w:rPr>
          <w:rFonts w:hint="eastAsia" w:ascii="仿宋_GB2312" w:eastAsia="仿宋_GB2312" w:hAnsiTheme="minorHAnsi" w:cstheme="minorBidi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次、</w:t>
      </w:r>
      <w:r>
        <w:rPr>
          <w:rFonts w:hint="eastAsia" w:ascii="仿宋_GB2312" w:eastAsia="仿宋_GB2312" w:cstheme="minorBidi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病退</w:t>
      </w:r>
      <w:r>
        <w:rPr>
          <w:rFonts w:hint="eastAsia" w:ascii="仿宋_GB2312" w:eastAsia="仿宋_GB2312" w:hAnsiTheme="minorHAnsi" w:cstheme="minorBidi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人员信息</w:t>
      </w:r>
      <w:r>
        <w:rPr>
          <w:rFonts w:hint="eastAsia" w:ascii="仿宋_GB2312" w:eastAsia="仿宋_GB2312" w:cstheme="minorBidi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10人</w:t>
      </w:r>
      <w:r>
        <w:rPr>
          <w:rFonts w:hint="eastAsia" w:ascii="仿宋_GB2312" w:eastAsia="仿宋_GB2312" w:hAnsiTheme="minorHAnsi" w:cstheme="minorBidi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次，劳动用工重大违法行为3次。发放</w:t>
      </w:r>
      <w:r>
        <w:rPr>
          <w:rFonts w:hint="eastAsia" w:ascii="仿宋_GB2312" w:eastAsia="仿宋_GB2312" w:cstheme="minorBidi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培训就业、社保减免等</w:t>
      </w:r>
      <w:r>
        <w:rPr>
          <w:rFonts w:hint="eastAsia" w:ascii="仿宋_GB2312" w:eastAsia="仿宋_GB2312" w:hAnsiTheme="minorHAnsi" w:cstheme="minorBidi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人社政策宣传资料4万余份。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/>
        <w:ind w:left="0" w:right="0" w:firstLine="420"/>
        <w:jc w:val="both"/>
        <w:rPr>
          <w:rFonts w:hint="eastAsia" w:ascii="黑体" w:hAnsi="黑体" w:eastAsia="黑体" w:cs="黑体"/>
          <w:b w:val="0"/>
          <w:bCs/>
          <w:i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二、主动公开政府信息情况</w:t>
      </w:r>
    </w:p>
    <w:tbl>
      <w:tblPr>
        <w:tblStyle w:val="5"/>
        <w:tblW w:w="8140" w:type="dxa"/>
        <w:jc w:val="center"/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113"/>
        <w:gridCol w:w="1875"/>
        <w:gridCol w:w="6"/>
        <w:gridCol w:w="1265"/>
        <w:gridCol w:w="1881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814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第二十条第（一）项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2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信息内容</w:t>
            </w:r>
          </w:p>
        </w:tc>
        <w:tc>
          <w:tcPr>
            <w:tcW w:w="18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本年新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asciiTheme="minorHAnsi" w:hAnsiTheme="minorHAnsi" w:eastAsiaTheme="minorEastAsia" w:cstheme="minorBid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制作数量</w:t>
            </w:r>
          </w:p>
        </w:tc>
        <w:tc>
          <w:tcPr>
            <w:tcW w:w="1271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本年新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asciiTheme="minorHAnsi" w:hAnsiTheme="minorHAnsi" w:eastAsiaTheme="minorEastAsia" w:cstheme="minorBid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公开数量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对外公开总数量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3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规章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default"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27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default"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default"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规范性文件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default"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27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default" w:eastAsiaTheme="minor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eastAsia" w:eastAsiaTheme="minor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8140" w:type="dxa"/>
            <w:gridSpan w:val="5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第二十条第（五）项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信息内容</w:t>
            </w:r>
          </w:p>
        </w:tc>
        <w:tc>
          <w:tcPr>
            <w:tcW w:w="18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上一年项目数量</w:t>
            </w:r>
          </w:p>
        </w:tc>
        <w:tc>
          <w:tcPr>
            <w:tcW w:w="1271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本年增/减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处理决定数量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行政许可</w:t>
            </w:r>
          </w:p>
        </w:tc>
        <w:tc>
          <w:tcPr>
            <w:tcW w:w="188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default"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2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default"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-4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default"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其他对外管理服务事项</w:t>
            </w:r>
          </w:p>
        </w:tc>
        <w:tc>
          <w:tcPr>
            <w:tcW w:w="188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default"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42</w:t>
            </w:r>
          </w:p>
        </w:tc>
        <w:tc>
          <w:tcPr>
            <w:tcW w:w="12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default" w:eastAsiaTheme="minor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-1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default" w:eastAsiaTheme="minor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41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6" w:hRule="atLeast"/>
          <w:jc w:val="center"/>
        </w:trPr>
        <w:tc>
          <w:tcPr>
            <w:tcW w:w="8140" w:type="dxa"/>
            <w:gridSpan w:val="5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第二十条第（六）项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信息内容</w:t>
            </w:r>
          </w:p>
        </w:tc>
        <w:tc>
          <w:tcPr>
            <w:tcW w:w="18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上一年项目数量</w:t>
            </w:r>
          </w:p>
        </w:tc>
        <w:tc>
          <w:tcPr>
            <w:tcW w:w="1271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本年增/减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处理决定数量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行政处罚</w:t>
            </w:r>
          </w:p>
        </w:tc>
        <w:tc>
          <w:tcPr>
            <w:tcW w:w="188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default"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42</w:t>
            </w:r>
          </w:p>
        </w:tc>
        <w:tc>
          <w:tcPr>
            <w:tcW w:w="12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default"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default"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行政强制</w:t>
            </w:r>
          </w:p>
        </w:tc>
        <w:tc>
          <w:tcPr>
            <w:tcW w:w="188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default"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2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default"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default"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  <w:jc w:val="center"/>
        </w:trPr>
        <w:tc>
          <w:tcPr>
            <w:tcW w:w="8140" w:type="dxa"/>
            <w:gridSpan w:val="5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第二十条第（八）项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信息内容</w:t>
            </w:r>
          </w:p>
        </w:tc>
        <w:tc>
          <w:tcPr>
            <w:tcW w:w="188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上一年项目数量</w:t>
            </w:r>
          </w:p>
        </w:tc>
        <w:tc>
          <w:tcPr>
            <w:tcW w:w="3146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本年增/减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行政事业性收费</w:t>
            </w:r>
          </w:p>
        </w:tc>
        <w:tc>
          <w:tcPr>
            <w:tcW w:w="188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default"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3146" w:type="dxa"/>
            <w:gridSpan w:val="2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  <w:jc w:val="center"/>
        </w:trPr>
        <w:tc>
          <w:tcPr>
            <w:tcW w:w="8140" w:type="dxa"/>
            <w:gridSpan w:val="5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第二十条第（九）项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信息内容</w:t>
            </w:r>
          </w:p>
        </w:tc>
        <w:tc>
          <w:tcPr>
            <w:tcW w:w="188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采购项目数量</w:t>
            </w:r>
          </w:p>
        </w:tc>
        <w:tc>
          <w:tcPr>
            <w:tcW w:w="3146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采购总金额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政府集中采购</w:t>
            </w:r>
          </w:p>
        </w:tc>
        <w:tc>
          <w:tcPr>
            <w:tcW w:w="188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default"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3146" w:type="dxa"/>
            <w:gridSpan w:val="2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eastAsia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</w:tbl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both"/>
        <w:rPr>
          <w:rFonts w:hint="eastAsia" w:ascii="宋体" w:hAnsi="宋体" w:eastAsia="宋体" w:cs="宋体"/>
          <w:i w:val="0"/>
          <w:caps w:val="0"/>
          <w:color w:val="000000" w:themeColor="text1"/>
          <w:spacing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/>
        <w:ind w:left="0" w:right="0" w:firstLine="420"/>
        <w:jc w:val="both"/>
        <w:rPr>
          <w:rFonts w:hint="eastAsia" w:ascii="黑体" w:hAnsi="黑体" w:eastAsia="黑体" w:cs="黑体"/>
          <w:b w:val="0"/>
          <w:bCs/>
          <w:i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三、收到和处理政府信息公开申请情况</w:t>
      </w:r>
    </w:p>
    <w:tbl>
      <w:tblPr>
        <w:tblStyle w:val="5"/>
        <w:tblW w:w="9071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16"/>
        <w:gridCol w:w="854"/>
        <w:gridCol w:w="2086"/>
        <w:gridCol w:w="813"/>
        <w:gridCol w:w="755"/>
        <w:gridCol w:w="755"/>
        <w:gridCol w:w="813"/>
        <w:gridCol w:w="973"/>
        <w:gridCol w:w="711"/>
        <w:gridCol w:w="695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479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（本列数据的勾稽关系为：第一项加第二项之和，等于第三项加第四项之和）</w:t>
            </w:r>
          </w:p>
        </w:tc>
        <w:tc>
          <w:tcPr>
            <w:tcW w:w="5592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申请人情况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479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5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自然人</w:t>
            </w:r>
          </w:p>
        </w:tc>
        <w:tc>
          <w:tcPr>
            <w:tcW w:w="4065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法人或其他组织</w:t>
            </w:r>
          </w:p>
        </w:tc>
        <w:tc>
          <w:tcPr>
            <w:tcW w:w="702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479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商业企业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科研机构</w:t>
            </w:r>
          </w:p>
        </w:tc>
        <w:tc>
          <w:tcPr>
            <w:tcW w:w="82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社会公益组织</w:t>
            </w:r>
          </w:p>
        </w:tc>
        <w:tc>
          <w:tcPr>
            <w:tcW w:w="99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法律服务机构</w:t>
            </w:r>
          </w:p>
        </w:tc>
        <w:tc>
          <w:tcPr>
            <w:tcW w:w="72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其他</w:t>
            </w:r>
          </w:p>
        </w:tc>
        <w:tc>
          <w:tcPr>
            <w:tcW w:w="702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479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一、本年新收政府信息公开申请数量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alibri" w:hAnsi="Calibri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ascii="Calibri" w:hAnsi="Calibri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alibri" w:hAnsi="Calibri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default" w:ascii="Calibri" w:hAnsi="Calibri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479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二、上年结转政府信息公开申请数量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alibri" w:hAnsi="Calibri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default" w:ascii="Calibri" w:hAnsi="Calibri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default"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ascii="Calibri" w:hAnsi="Calibri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4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三、本年度办理结果</w:t>
            </w:r>
          </w:p>
        </w:tc>
        <w:tc>
          <w:tcPr>
            <w:tcW w:w="298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楷体" w:hAnsi="楷体" w:eastAsia="楷体" w:cs="楷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（一）予以公开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bookmarkStart w:id="0" w:name="_GoBack"/>
            <w:bookmarkEnd w:id="0"/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default"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8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（二）部分公开（区分处理的，只计这一情形，不计其他情形）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（三）不予公开</w:t>
            </w:r>
          </w:p>
        </w:tc>
        <w:tc>
          <w:tcPr>
            <w:tcW w:w="21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1.属于国家秘密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70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2.其他法律行政法规禁止公开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3.危及“三安全一稳定”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4.保护第三方合法权益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5.属于三类内部事务信息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6.属于四类过程性信息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7.属于行政执法案卷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8.属于行政查询事项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（四）无法提供</w:t>
            </w:r>
          </w:p>
        </w:tc>
        <w:tc>
          <w:tcPr>
            <w:tcW w:w="21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1.本机关不掌握相关政府信息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2.没有现成信息需要另行制作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3.补正后申请内容仍不明确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（五）不予处理</w:t>
            </w:r>
          </w:p>
        </w:tc>
        <w:tc>
          <w:tcPr>
            <w:tcW w:w="21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1.信访举报投诉类申请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2.重复申请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3.要求提供公开出版物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4.无正当理由大量反复申请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5.要求行政机关确认或重新出具已获取信息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8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（六）其他处理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8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（七）总计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479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四、结转下年度继续办理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default"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both"/>
        <w:rPr>
          <w:rFonts w:hint="eastAsia" w:ascii="宋体" w:hAnsi="宋体" w:eastAsia="宋体" w:cs="宋体"/>
          <w:i w:val="0"/>
          <w:caps w:val="0"/>
          <w:color w:val="000000" w:themeColor="text1"/>
          <w:spacing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both"/>
        <w:rPr>
          <w:rFonts w:hint="eastAsia" w:ascii="黑体" w:hAnsi="黑体" w:eastAsia="黑体" w:cs="黑体"/>
          <w:b w:val="0"/>
          <w:bCs/>
          <w:i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四、政府信息公开行政复议、行政诉讼情况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both"/>
        <w:rPr>
          <w:rFonts w:hint="eastAsia" w:ascii="宋体" w:hAnsi="宋体" w:eastAsia="宋体" w:cs="宋体"/>
          <w:i w:val="0"/>
          <w:caps w:val="0"/>
          <w:color w:val="000000" w:themeColor="text1"/>
          <w:spacing w:val="0"/>
          <w:sz w:val="24"/>
          <w:szCs w:val="24"/>
          <w14:textFill>
            <w14:solidFill>
              <w14:schemeClr w14:val="tx1"/>
            </w14:solidFill>
          </w14:textFill>
        </w:rPr>
      </w:pPr>
    </w:p>
    <w:tbl>
      <w:tblPr>
        <w:tblStyle w:val="5"/>
        <w:tblW w:w="9071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04"/>
        <w:gridCol w:w="604"/>
        <w:gridCol w:w="604"/>
        <w:gridCol w:w="604"/>
        <w:gridCol w:w="658"/>
        <w:gridCol w:w="550"/>
        <w:gridCol w:w="605"/>
        <w:gridCol w:w="605"/>
        <w:gridCol w:w="605"/>
        <w:gridCol w:w="605"/>
        <w:gridCol w:w="605"/>
        <w:gridCol w:w="605"/>
        <w:gridCol w:w="605"/>
        <w:gridCol w:w="606"/>
        <w:gridCol w:w="606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074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行政复议</w:t>
            </w:r>
          </w:p>
        </w:tc>
        <w:tc>
          <w:tcPr>
            <w:tcW w:w="5997" w:type="dxa"/>
            <w:gridSpan w:val="10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行政诉讼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04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结果维持</w:t>
            </w:r>
          </w:p>
        </w:tc>
        <w:tc>
          <w:tcPr>
            <w:tcW w:w="604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结果纠正</w:t>
            </w:r>
          </w:p>
        </w:tc>
        <w:tc>
          <w:tcPr>
            <w:tcW w:w="604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其他结果</w:t>
            </w:r>
          </w:p>
        </w:tc>
        <w:tc>
          <w:tcPr>
            <w:tcW w:w="604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尚未审结</w:t>
            </w:r>
          </w:p>
        </w:tc>
        <w:tc>
          <w:tcPr>
            <w:tcW w:w="658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总计</w:t>
            </w:r>
          </w:p>
        </w:tc>
        <w:tc>
          <w:tcPr>
            <w:tcW w:w="2970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未经复议直接起诉</w:t>
            </w:r>
          </w:p>
        </w:tc>
        <w:tc>
          <w:tcPr>
            <w:tcW w:w="3027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复议后起诉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0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0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04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04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58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结果维持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结果纠正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其他结果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尚未审结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总计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结果维持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结果纠正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其他结果</w:t>
            </w:r>
          </w:p>
        </w:tc>
        <w:tc>
          <w:tcPr>
            <w:tcW w:w="6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尚未审结</w:t>
            </w:r>
          </w:p>
        </w:tc>
        <w:tc>
          <w:tcPr>
            <w:tcW w:w="6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0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default"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ascii="Calibri" w:hAnsi="Calibri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default"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eastAsia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</w:tbl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hint="eastAsia" w:ascii="黑体" w:hAnsi="黑体" w:eastAsia="黑体" w:cs="黑体"/>
          <w:b/>
          <w:bCs/>
          <w:i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both"/>
        <w:rPr>
          <w:rFonts w:hint="eastAsia" w:ascii="黑体" w:hAnsi="黑体" w:eastAsia="黑体" w:cs="黑体"/>
          <w:b w:val="0"/>
          <w:bCs w:val="0"/>
          <w:i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五、存在的主要问题及改进情况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both"/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针对上年度“政府信息公开动态信息不及时、更新频率还需提升”的问题，我们一是采取集中培训的方式，对相关岗位的领导干部、工作人员进行了政府信息公开工作培训，进一步规范人社部门政府信息公开工作流程，提升政府信息公开工作质量；二是加强督导检查。分管领导定期不定期进行检查，确保更新频率。经改进，2020年政务信息公开工作更加规范有序，对做好人社部门各项工作提供了有力支持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both"/>
        <w:rPr>
          <w:rFonts w:hint="eastAsia" w:ascii="黑体" w:hAnsi="黑体" w:eastAsia="黑体" w:cs="黑体"/>
          <w:b w:val="0"/>
          <w:bCs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六、其他需要报告的事项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暂无其他需要报告的事项。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ind w:firstLine="640" w:firstLineChars="200"/>
        <w:jc w:val="right"/>
        <w:textAlignment w:val="auto"/>
        <w:rPr>
          <w:rFonts w:hint="default" w:ascii="仿宋" w:hAnsi="仿宋" w:eastAsia="仿宋" w:cs="仿宋"/>
          <w:i w:val="0"/>
          <w:caps w:val="0"/>
          <w:color w:val="000000" w:themeColor="text1"/>
          <w:spacing w:val="0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 xml:space="preserve">2021年1月28日  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1675AEA"/>
    <w:rsid w:val="11675AEA"/>
    <w:rsid w:val="20BB407D"/>
    <w:rsid w:val="29260B9D"/>
    <w:rsid w:val="34022C11"/>
    <w:rsid w:val="3A484AE2"/>
    <w:rsid w:val="48157086"/>
    <w:rsid w:val="4D5C16BB"/>
    <w:rsid w:val="50E873E9"/>
    <w:rsid w:val="69196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233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2021-01-29T01:42:00Z</dcterms:created>
  <dc:creator>大罗金仙</dc:creator>
  <cp:lastModifiedBy>大罗金仙</cp:lastModifiedBy>
  <cp:lastPrinted>2021-02-01T01:18:00Z</cp:lastPrinted>
  <dcterms:modified xsi:type="dcterms:W3CDTF">2021-02-01T02:53:26Z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