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0" w:beforeAutospacing="0" w:after="0" w:afterAutospacing="0" w:line="540" w:lineRule="exact"/>
        <w:jc w:val="center"/>
        <w:rPr>
          <w:rFonts w:ascii="宋体" w:hAnsi="宋体" w:cs="宋体"/>
          <w:b/>
          <w:color w:val="000000"/>
          <w:sz w:val="44"/>
          <w:szCs w:val="44"/>
          <w:shd w:val="clear" w:color="auto" w:fill="FFFFFF"/>
        </w:rPr>
      </w:pPr>
      <w:r>
        <w:rPr>
          <w:rFonts w:hint="eastAsia" w:ascii="宋体" w:hAnsi="宋体" w:cs="宋体"/>
          <w:b/>
          <w:color w:val="000000"/>
          <w:sz w:val="44"/>
          <w:szCs w:val="44"/>
          <w:shd w:val="clear" w:color="auto" w:fill="FFFFFF"/>
        </w:rPr>
        <w:t>午城镇人民政府</w:t>
      </w:r>
    </w:p>
    <w:p>
      <w:pPr>
        <w:pStyle w:val="6"/>
        <w:widowControl/>
        <w:shd w:val="clear" w:color="auto" w:fill="FFFFFF"/>
        <w:spacing w:before="0" w:beforeAutospacing="0" w:after="0" w:afterAutospacing="0" w:line="540" w:lineRule="exact"/>
        <w:jc w:val="center"/>
        <w:rPr>
          <w:rFonts w:asciiTheme="majorEastAsia" w:hAnsiTheme="majorEastAsia" w:eastAsiaTheme="majorEastAsia" w:cstheme="majorEastAsia"/>
          <w:bCs/>
          <w:color w:val="000000"/>
          <w:sz w:val="44"/>
          <w:szCs w:val="44"/>
        </w:rPr>
      </w:pPr>
      <w:r>
        <w:rPr>
          <w:rFonts w:hint="eastAsia" w:asciiTheme="majorEastAsia" w:hAnsiTheme="majorEastAsia" w:eastAsiaTheme="majorEastAsia" w:cstheme="majorEastAsia"/>
          <w:b/>
          <w:color w:val="000000"/>
          <w:sz w:val="44"/>
          <w:szCs w:val="44"/>
          <w:shd w:val="clear" w:color="auto" w:fill="FFFFFF"/>
        </w:rPr>
        <w:t>202</w:t>
      </w:r>
      <w:r>
        <w:rPr>
          <w:rFonts w:asciiTheme="majorEastAsia" w:hAnsiTheme="majorEastAsia" w:eastAsiaTheme="majorEastAsia" w:cstheme="majorEastAsia"/>
          <w:b/>
          <w:color w:val="000000"/>
          <w:sz w:val="44"/>
          <w:szCs w:val="44"/>
          <w:shd w:val="clear" w:color="auto" w:fill="FFFFFF"/>
        </w:rPr>
        <w:t>3</w:t>
      </w:r>
      <w:r>
        <w:rPr>
          <w:rFonts w:hint="eastAsia" w:asciiTheme="majorEastAsia" w:hAnsiTheme="majorEastAsia" w:eastAsiaTheme="majorEastAsia" w:cstheme="majorEastAsia"/>
          <w:b/>
          <w:color w:val="000000"/>
          <w:sz w:val="44"/>
          <w:szCs w:val="44"/>
          <w:shd w:val="clear" w:color="auto" w:fill="FFFFFF"/>
        </w:rPr>
        <w:t>年政府信息公开工作年度报告</w:t>
      </w:r>
    </w:p>
    <w:p>
      <w:pPr>
        <w:pStyle w:val="6"/>
        <w:widowControl/>
        <w:shd w:val="clear" w:color="auto" w:fill="FFFFFF"/>
        <w:spacing w:before="0" w:beforeAutospacing="0" w:after="0" w:afterAutospacing="0" w:line="540" w:lineRule="exact"/>
        <w:ind w:firstLine="420"/>
        <w:jc w:val="both"/>
        <w:rPr>
          <w:rFonts w:ascii="宋体" w:hAnsi="宋体" w:cs="宋体"/>
          <w:color w:val="000000"/>
        </w:rPr>
      </w:pPr>
    </w:p>
    <w:p>
      <w:pPr>
        <w:pStyle w:val="6"/>
        <w:widowControl/>
        <w:shd w:val="clear" w:color="auto" w:fill="FFFFFF"/>
        <w:spacing w:before="0" w:beforeAutospacing="0" w:after="0" w:afterAutospacing="0" w:line="540" w:lineRule="exact"/>
        <w:ind w:firstLine="640" w:firstLineChars="200"/>
        <w:jc w:val="both"/>
        <w:rPr>
          <w:rFonts w:ascii="黑体" w:hAnsi="黑体" w:eastAsia="黑体" w:cs="黑体"/>
          <w:bCs/>
          <w:color w:val="000000"/>
          <w:sz w:val="32"/>
          <w:szCs w:val="32"/>
        </w:rPr>
      </w:pPr>
      <w:bookmarkStart w:id="0" w:name="_GoBack"/>
      <w:bookmarkEnd w:id="0"/>
      <w:r>
        <w:rPr>
          <w:rFonts w:hint="eastAsia" w:ascii="黑体" w:hAnsi="黑体" w:eastAsia="黑体" w:cs="黑体"/>
          <w:bCs/>
          <w:color w:val="000000"/>
          <w:sz w:val="32"/>
          <w:szCs w:val="32"/>
          <w:shd w:val="clear" w:color="auto" w:fill="FFFFFF"/>
        </w:rPr>
        <w:t>一、总体情况</w:t>
      </w:r>
    </w:p>
    <w:p>
      <w:pPr>
        <w:pStyle w:val="6"/>
        <w:widowControl/>
        <w:shd w:val="clear" w:color="auto" w:fill="FFFFFF"/>
        <w:spacing w:before="0" w:beforeAutospacing="0" w:after="0" w:afterAutospacing="0" w:line="540" w:lineRule="exac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202</w:t>
      </w:r>
      <w:r>
        <w:rPr>
          <w:rFonts w:ascii="仿宋" w:hAnsi="仿宋" w:eastAsia="仿宋" w:cs="仿宋"/>
          <w:color w:val="333333"/>
          <w:sz w:val="32"/>
          <w:szCs w:val="32"/>
          <w:shd w:val="clear" w:color="auto" w:fill="FFFFFF"/>
        </w:rPr>
        <w:t>3</w:t>
      </w:r>
      <w:r>
        <w:rPr>
          <w:rFonts w:hint="eastAsia" w:ascii="仿宋" w:hAnsi="仿宋" w:eastAsia="仿宋" w:cs="仿宋"/>
          <w:color w:val="333333"/>
          <w:sz w:val="32"/>
          <w:szCs w:val="32"/>
          <w:shd w:val="clear" w:color="auto" w:fill="FFFFFF"/>
        </w:rPr>
        <w:t>年，午城镇</w:t>
      </w:r>
      <w:r>
        <w:rPr>
          <w:rFonts w:hint="eastAsia" w:ascii="仿宋" w:hAnsi="仿宋" w:eastAsia="仿宋" w:cs="仿宋"/>
          <w:sz w:val="32"/>
          <w:szCs w:val="32"/>
        </w:rPr>
        <w:t>对政务信息工作高度重视，并把信息工作摆在基层工作的重要位置，</w:t>
      </w:r>
      <w:r>
        <w:rPr>
          <w:rFonts w:hint="eastAsia" w:ascii="仿宋" w:hAnsi="仿宋" w:eastAsia="仿宋" w:cs="仿宋"/>
          <w:color w:val="333333"/>
          <w:sz w:val="32"/>
          <w:szCs w:val="32"/>
          <w:shd w:val="clear" w:color="auto" w:fill="FFFFFF"/>
        </w:rPr>
        <w:t>坚持以习近平新时代中国特色社会主义思想为指导，全面学习贯彻党的二十大精神，认真贯彻落实《中华人民共和国政府信息公开条例》要求，</w:t>
      </w:r>
      <w:r>
        <w:rPr>
          <w:rFonts w:hint="eastAsia" w:ascii="仿宋" w:hAnsi="仿宋" w:eastAsia="仿宋" w:cs="仿宋"/>
          <w:sz w:val="32"/>
          <w:szCs w:val="32"/>
        </w:rPr>
        <w:t>成立信息公</w:t>
      </w:r>
      <w:r>
        <w:rPr>
          <w:rFonts w:hint="eastAsia" w:ascii="仿宋" w:hAnsi="仿宋" w:eastAsia="仿宋" w:cs="仿宋"/>
          <w:color w:val="333333"/>
          <w:sz w:val="32"/>
          <w:szCs w:val="32"/>
          <w:shd w:val="clear" w:color="auto" w:fill="FFFFFF"/>
        </w:rPr>
        <w:t>开领导小组，做到领导工作到位，责任落实到人。通过“又见午城”微信视频号、美篇号等电子平台和镇村公示栏等线下平台发布信息，通过多种渠道，认真听取群众意见和建议，进一步深化政务公开工作，不断提高政府工作透明度，有效提升政务公开标准化规范化建设水平，助力建设人民满意的服务型政府。</w:t>
      </w:r>
    </w:p>
    <w:p>
      <w:pPr>
        <w:pStyle w:val="6"/>
        <w:widowControl/>
        <w:shd w:val="clear" w:color="auto" w:fill="FFFFFF"/>
        <w:spacing w:before="0" w:beforeAutospacing="0" w:after="0" w:afterAutospacing="0" w:line="540" w:lineRule="exact"/>
        <w:ind w:firstLine="640" w:firstLineChars="200"/>
        <w:jc w:val="both"/>
        <w:rPr>
          <w:rFonts w:ascii="黑体" w:hAnsi="黑体" w:eastAsia="黑体" w:cs="黑体"/>
          <w:bCs/>
          <w:color w:val="000000"/>
          <w:shd w:val="clear" w:color="auto" w:fill="FFFFFF"/>
        </w:rPr>
      </w:pPr>
      <w:r>
        <w:rPr>
          <w:rFonts w:hint="eastAsia" w:ascii="黑体" w:hAnsi="黑体" w:eastAsia="黑体" w:cs="黑体"/>
          <w:bCs/>
          <w:color w:val="000000"/>
          <w:sz w:val="32"/>
          <w:szCs w:val="32"/>
          <w:shd w:val="clear" w:color="auto" w:fill="FFFFFF"/>
        </w:rPr>
        <w:t>二、主动公开政府信息情况</w:t>
      </w:r>
    </w:p>
    <w:tbl>
      <w:tblPr>
        <w:tblStyle w:val="7"/>
        <w:tblW w:w="9340" w:type="dxa"/>
        <w:jc w:val="center"/>
        <w:tblLayout w:type="autofit"/>
        <w:tblCellMar>
          <w:top w:w="0" w:type="dxa"/>
          <w:left w:w="0" w:type="dxa"/>
          <w:bottom w:w="0" w:type="dxa"/>
          <w:right w:w="0" w:type="dxa"/>
        </w:tblCellMar>
      </w:tblPr>
      <w:tblGrid>
        <w:gridCol w:w="2335"/>
        <w:gridCol w:w="2335"/>
        <w:gridCol w:w="2335"/>
        <w:gridCol w:w="2335"/>
      </w:tblGrid>
      <w:tr>
        <w:tblPrEx>
          <w:tblCellMar>
            <w:top w:w="0" w:type="dxa"/>
            <w:left w:w="0" w:type="dxa"/>
            <w:bottom w:w="0" w:type="dxa"/>
            <w:right w:w="0" w:type="dxa"/>
          </w:tblCellMar>
        </w:tblPrEx>
        <w:trPr>
          <w:trHeight w:val="631" w:hRule="atLeast"/>
          <w:jc w:val="center"/>
        </w:trPr>
        <w:tc>
          <w:tcPr>
            <w:tcW w:w="93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信息内容</w:t>
            </w:r>
          </w:p>
        </w:tc>
        <w:tc>
          <w:tcPr>
            <w:tcW w:w="23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本年制发件数</w:t>
            </w:r>
          </w:p>
        </w:tc>
        <w:tc>
          <w:tcPr>
            <w:tcW w:w="23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本年废止件数</w:t>
            </w:r>
          </w:p>
        </w:tc>
        <w:tc>
          <w:tcPr>
            <w:tcW w:w="23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规章</w:t>
            </w:r>
          </w:p>
        </w:tc>
        <w:tc>
          <w:tcPr>
            <w:tcW w:w="233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0</w:t>
            </w:r>
          </w:p>
        </w:tc>
        <w:tc>
          <w:tcPr>
            <w:tcW w:w="233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0</w:t>
            </w:r>
          </w:p>
        </w:tc>
        <w:tc>
          <w:tcPr>
            <w:tcW w:w="233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Cs w:val="21"/>
                <w:lang w:bidi="ar"/>
              </w:rPr>
              <w:t>0</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行政规范性文件</w:t>
            </w:r>
          </w:p>
        </w:tc>
        <w:tc>
          <w:tcPr>
            <w:tcW w:w="233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0</w:t>
            </w:r>
          </w:p>
        </w:tc>
        <w:tc>
          <w:tcPr>
            <w:tcW w:w="233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0</w:t>
            </w:r>
          </w:p>
        </w:tc>
        <w:tc>
          <w:tcPr>
            <w:tcW w:w="233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Cs w:val="21"/>
                <w:lang w:bidi="ar"/>
              </w:rPr>
              <w:t>0</w:t>
            </w:r>
          </w:p>
        </w:tc>
      </w:tr>
      <w:tr>
        <w:tblPrEx>
          <w:tblCellMar>
            <w:top w:w="0" w:type="dxa"/>
            <w:left w:w="0" w:type="dxa"/>
            <w:bottom w:w="0" w:type="dxa"/>
            <w:right w:w="0" w:type="dxa"/>
          </w:tblCellMar>
        </w:tblPrEx>
        <w:trPr>
          <w:trHeight w:val="631" w:hRule="atLeast"/>
          <w:jc w:val="center"/>
        </w:trPr>
        <w:tc>
          <w:tcPr>
            <w:tcW w:w="93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信息内容</w:t>
            </w:r>
          </w:p>
        </w:tc>
        <w:tc>
          <w:tcPr>
            <w:tcW w:w="70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行政许可</w:t>
            </w:r>
          </w:p>
        </w:tc>
        <w:tc>
          <w:tcPr>
            <w:tcW w:w="70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Cs w:val="21"/>
                <w:lang w:bidi="ar"/>
              </w:rPr>
              <w:t>0</w:t>
            </w:r>
          </w:p>
        </w:tc>
      </w:tr>
      <w:tr>
        <w:tblPrEx>
          <w:tblCellMar>
            <w:top w:w="0" w:type="dxa"/>
            <w:left w:w="0" w:type="dxa"/>
            <w:bottom w:w="0" w:type="dxa"/>
            <w:right w:w="0" w:type="dxa"/>
          </w:tblCellMar>
        </w:tblPrEx>
        <w:trPr>
          <w:trHeight w:val="631" w:hRule="atLeast"/>
          <w:jc w:val="center"/>
        </w:trPr>
        <w:tc>
          <w:tcPr>
            <w:tcW w:w="93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信息内容</w:t>
            </w:r>
          </w:p>
        </w:tc>
        <w:tc>
          <w:tcPr>
            <w:tcW w:w="7005" w:type="dxa"/>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行政处罚</w:t>
            </w:r>
          </w:p>
        </w:tc>
        <w:tc>
          <w:tcPr>
            <w:tcW w:w="70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行政强制</w:t>
            </w:r>
          </w:p>
        </w:tc>
        <w:tc>
          <w:tcPr>
            <w:tcW w:w="70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631" w:hRule="atLeast"/>
          <w:jc w:val="center"/>
        </w:trPr>
        <w:tc>
          <w:tcPr>
            <w:tcW w:w="93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信息内容</w:t>
            </w:r>
          </w:p>
        </w:tc>
        <w:tc>
          <w:tcPr>
            <w:tcW w:w="7005" w:type="dxa"/>
            <w:gridSpan w:val="3"/>
            <w:tcBorders>
              <w:top w:val="nil"/>
              <w:left w:val="nil"/>
              <w:bottom w:val="single" w:color="auto" w:sz="8" w:space="0"/>
              <w:right w:val="single" w:color="000000"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741" w:hRule="atLeast"/>
          <w:jc w:val="center"/>
        </w:trPr>
        <w:tc>
          <w:tcPr>
            <w:tcW w:w="23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行政事业性收费</w:t>
            </w:r>
          </w:p>
        </w:tc>
        <w:tc>
          <w:tcPr>
            <w:tcW w:w="70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color w:val="000000"/>
                <w:sz w:val="24"/>
              </w:rPr>
            </w:pPr>
            <w:r>
              <w:rPr>
                <w:rFonts w:hint="eastAsia" w:ascii="宋体"/>
                <w:color w:val="000000"/>
                <w:sz w:val="24"/>
              </w:rPr>
              <w:t>0</w:t>
            </w:r>
          </w:p>
        </w:tc>
      </w:tr>
    </w:tbl>
    <w:p>
      <w:pPr>
        <w:widowControl/>
        <w:jc w:val="left"/>
        <w:rPr>
          <w:color w:val="000000"/>
        </w:rPr>
      </w:pPr>
    </w:p>
    <w:p>
      <w:pPr>
        <w:pStyle w:val="6"/>
        <w:widowControl/>
        <w:shd w:val="clear" w:color="auto" w:fill="FFFFFF"/>
        <w:spacing w:before="0" w:beforeAutospacing="0" w:after="0" w:afterAutospacing="0" w:line="540" w:lineRule="exact"/>
        <w:ind w:firstLine="420"/>
        <w:jc w:val="both"/>
        <w:rPr>
          <w:rFonts w:ascii="黑体" w:hAnsi="黑体" w:eastAsia="黑体" w:cs="黑体"/>
          <w:bCs/>
          <w:color w:val="000000"/>
          <w:sz w:val="32"/>
          <w:szCs w:val="32"/>
          <w:shd w:val="clear" w:color="auto" w:fill="FFFFFF"/>
        </w:rPr>
      </w:pPr>
      <w:r>
        <w:rPr>
          <w:rFonts w:hint="eastAsia" w:ascii="黑体" w:hAnsi="黑体" w:eastAsia="黑体" w:cs="黑体"/>
          <w:bCs/>
          <w:color w:val="000000"/>
          <w:sz w:val="32"/>
          <w:szCs w:val="32"/>
          <w:shd w:val="clear" w:color="auto" w:fill="FFFFFF"/>
        </w:rPr>
        <w:t>三、收到和处理政府信息公开申请情况</w:t>
      </w:r>
    </w:p>
    <w:tbl>
      <w:tblPr>
        <w:tblStyle w:val="7"/>
        <w:tblW w:w="954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5"/>
        <w:gridCol w:w="953"/>
        <w:gridCol w:w="3259"/>
        <w:gridCol w:w="695"/>
        <w:gridCol w:w="695"/>
        <w:gridCol w:w="695"/>
        <w:gridCol w:w="695"/>
        <w:gridCol w:w="695"/>
        <w:gridCol w:w="584"/>
        <w:gridCol w:w="5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87"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widowControl/>
              <w:jc w:val="left"/>
              <w:rPr>
                <w:color w:val="000000"/>
              </w:rPr>
            </w:pPr>
            <w:r>
              <w:rPr>
                <w:rFonts w:ascii="楷体" w:hAnsi="楷体" w:eastAsia="楷体" w:cs="楷体"/>
                <w:color w:val="000000"/>
                <w:kern w:val="0"/>
                <w:sz w:val="20"/>
                <w:szCs w:val="20"/>
                <w:lang w:bidi="ar"/>
              </w:rPr>
              <w:t>（本列数据的勾稽关系为：第一项加第二项之和，等于第三项加第四项之和）</w:t>
            </w:r>
          </w:p>
        </w:tc>
        <w:tc>
          <w:tcPr>
            <w:tcW w:w="4559" w:type="dxa"/>
            <w:gridSpan w:val="7"/>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color w:val="000000"/>
                <w:sz w:val="24"/>
              </w:rPr>
            </w:pPr>
          </w:p>
        </w:tc>
        <w:tc>
          <w:tcPr>
            <w:tcW w:w="695" w:type="dxa"/>
            <w:vMerge w:val="restart"/>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自然人</w:t>
            </w:r>
          </w:p>
        </w:tc>
        <w:tc>
          <w:tcPr>
            <w:tcW w:w="3364" w:type="dxa"/>
            <w:gridSpan w:val="5"/>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法人或其他组织</w:t>
            </w:r>
          </w:p>
        </w:tc>
        <w:tc>
          <w:tcPr>
            <w:tcW w:w="500" w:type="dxa"/>
            <w:vMerge w:val="restart"/>
            <w:tcBorders>
              <w:top w:val="single" w:color="auto" w:sz="8" w:space="0"/>
              <w:left w:val="nil"/>
              <w:bottom w:val="outset"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7"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color w:val="000000"/>
                <w:sz w:val="24"/>
              </w:rPr>
            </w:pPr>
          </w:p>
        </w:tc>
        <w:tc>
          <w:tcPr>
            <w:tcW w:w="695" w:type="dxa"/>
            <w:vMerge w:val="continue"/>
            <w:tcBorders>
              <w:top w:val="nil"/>
              <w:left w:val="nil"/>
              <w:bottom w:val="single" w:color="auto" w:sz="8" w:space="0"/>
              <w:right w:val="single" w:color="auto" w:sz="8" w:space="0"/>
            </w:tcBorders>
            <w:tcMar>
              <w:left w:w="57" w:type="dxa"/>
              <w:right w:w="57" w:type="dxa"/>
            </w:tcMar>
            <w:vAlign w:val="center"/>
          </w:tcPr>
          <w:p>
            <w:pPr>
              <w:rPr>
                <w:rFonts w:ascii="宋体"/>
                <w:color w:val="000000"/>
                <w:sz w:val="24"/>
              </w:rPr>
            </w:pP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商业</w:t>
            </w:r>
          </w:p>
          <w:p>
            <w:pPr>
              <w:widowControl/>
              <w:jc w:val="center"/>
              <w:rPr>
                <w:color w:val="000000"/>
              </w:rPr>
            </w:pPr>
            <w:r>
              <w:rPr>
                <w:rFonts w:hint="eastAsia" w:ascii="宋体" w:hAnsi="宋体" w:cs="宋体"/>
                <w:color w:val="000000"/>
                <w:kern w:val="0"/>
                <w:sz w:val="20"/>
                <w:szCs w:val="20"/>
                <w:lang w:bidi="ar"/>
              </w:rPr>
              <w:t>企业</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科研</w:t>
            </w:r>
          </w:p>
          <w:p>
            <w:pPr>
              <w:widowControl/>
              <w:jc w:val="center"/>
              <w:rPr>
                <w:color w:val="000000"/>
              </w:rPr>
            </w:pPr>
            <w:r>
              <w:rPr>
                <w:rFonts w:hint="eastAsia" w:ascii="宋体" w:hAnsi="宋体" w:cs="宋体"/>
                <w:color w:val="000000"/>
                <w:kern w:val="0"/>
                <w:sz w:val="20"/>
                <w:szCs w:val="20"/>
                <w:lang w:bidi="ar"/>
              </w:rPr>
              <w:t>机构</w:t>
            </w:r>
          </w:p>
        </w:tc>
        <w:tc>
          <w:tcPr>
            <w:tcW w:w="69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社会公益组织</w:t>
            </w:r>
          </w:p>
        </w:tc>
        <w:tc>
          <w:tcPr>
            <w:tcW w:w="69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法律服务机构</w:t>
            </w:r>
          </w:p>
        </w:tc>
        <w:tc>
          <w:tcPr>
            <w:tcW w:w="584"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ascii="宋体" w:hAnsi="宋体" w:cs="宋体"/>
                <w:color w:val="000000"/>
                <w:kern w:val="0"/>
                <w:sz w:val="20"/>
                <w:szCs w:val="20"/>
                <w:lang w:bidi="ar"/>
              </w:rPr>
              <w:t>其他</w:t>
            </w:r>
          </w:p>
        </w:tc>
        <w:tc>
          <w:tcPr>
            <w:tcW w:w="500" w:type="dxa"/>
            <w:vMerge w:val="continue"/>
            <w:tcBorders>
              <w:top w:val="single" w:color="auto" w:sz="8" w:space="0"/>
              <w:left w:val="nil"/>
              <w:bottom w:val="outset" w:color="auto" w:sz="8" w:space="0"/>
              <w:right w:val="single" w:color="auto" w:sz="8" w:space="0"/>
            </w:tcBorders>
            <w:tcMar>
              <w:left w:w="57" w:type="dxa"/>
              <w:right w:w="57" w:type="dxa"/>
            </w:tcMar>
            <w:vAlign w:val="center"/>
          </w:tcPr>
          <w:p>
            <w:pPr>
              <w:rPr>
                <w:rFonts w:ascii="宋体"/>
                <w:color w:val="000000"/>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7" w:hRule="atLeast"/>
          <w:jc w:val="center"/>
        </w:trPr>
        <w:tc>
          <w:tcPr>
            <w:tcW w:w="4987"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color w:val="000000"/>
              </w:rPr>
            </w:pPr>
            <w:r>
              <w:rPr>
                <w:rFonts w:hint="eastAsia" w:ascii="宋体" w:hAnsi="宋体" w:cs="宋体"/>
                <w:color w:val="000000"/>
                <w:kern w:val="0"/>
                <w:sz w:val="20"/>
                <w:szCs w:val="20"/>
                <w:lang w:bidi="ar"/>
              </w:rPr>
              <w:t>一、本年新收政府信息公开申请数量</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87"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color w:val="000000"/>
              </w:rPr>
            </w:pPr>
            <w:r>
              <w:rPr>
                <w:rFonts w:hint="eastAsia" w:ascii="宋体" w:hAnsi="宋体" w:cs="宋体"/>
                <w:color w:val="000000"/>
                <w:kern w:val="0"/>
                <w:sz w:val="20"/>
                <w:szCs w:val="20"/>
                <w:lang w:bidi="ar"/>
              </w:rPr>
              <w:t>二、上年结转政府信息公开申请数量</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widowControl/>
              <w:jc w:val="left"/>
              <w:rPr>
                <w:color w:val="000000"/>
              </w:rPr>
            </w:pPr>
            <w:r>
              <w:rPr>
                <w:rFonts w:hint="eastAsia" w:ascii="宋体" w:hAnsi="宋体" w:cs="宋体"/>
                <w:color w:val="000000"/>
                <w:kern w:val="0"/>
                <w:sz w:val="20"/>
                <w:szCs w:val="20"/>
                <w:lang w:bidi="ar"/>
              </w:rPr>
              <w:t>三、本年度办理结果</w:t>
            </w:r>
          </w:p>
        </w:tc>
        <w:tc>
          <w:tcPr>
            <w:tcW w:w="4212"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color w:val="000000"/>
              </w:rPr>
            </w:pPr>
            <w:r>
              <w:rPr>
                <w:rFonts w:hint="eastAsia" w:ascii="宋体" w:hAnsi="宋体" w:cs="宋体"/>
                <w:color w:val="000000"/>
                <w:kern w:val="0"/>
                <w:sz w:val="20"/>
                <w:szCs w:val="20"/>
                <w:lang w:bidi="ar"/>
              </w:rPr>
              <w:t>（一）予以公开</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9"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4212"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color w:val="000000"/>
              </w:rPr>
            </w:pPr>
            <w:r>
              <w:rPr>
                <w:rFonts w:hint="eastAsia" w:ascii="宋体" w:hAnsi="宋体" w:cs="宋体"/>
                <w:color w:val="000000"/>
                <w:kern w:val="0"/>
                <w:sz w:val="20"/>
                <w:szCs w:val="20"/>
                <w:lang w:bidi="ar"/>
              </w:rPr>
              <w:t>（二）部分公开</w:t>
            </w:r>
            <w:r>
              <w:rPr>
                <w:rFonts w:hint="eastAsia" w:ascii="楷体" w:hAnsi="楷体" w:eastAsia="楷体" w:cs="楷体"/>
                <w:color w:val="000000"/>
                <w:kern w:val="0"/>
                <w:sz w:val="20"/>
                <w:szCs w:val="20"/>
                <w:lang w:bidi="ar"/>
              </w:rPr>
              <w:t>（区分处理的，只计这一情形，不计其他情形）</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color w:val="000000"/>
              </w:rPr>
            </w:pPr>
            <w:r>
              <w:rPr>
                <w:rFonts w:hint="eastAsia" w:ascii="宋体" w:hAnsi="宋体" w:cs="宋体"/>
                <w:color w:val="000000"/>
                <w:kern w:val="0"/>
                <w:sz w:val="20"/>
                <w:szCs w:val="20"/>
                <w:lang w:bidi="ar"/>
              </w:rPr>
              <w:t>（三）不予公开</w:t>
            </w:r>
          </w:p>
        </w:tc>
        <w:tc>
          <w:tcPr>
            <w:tcW w:w="3259" w:type="dxa"/>
            <w:tcBorders>
              <w:top w:val="nil"/>
              <w:left w:val="nil"/>
              <w:bottom w:val="single" w:color="auto" w:sz="8" w:space="0"/>
              <w:right w:val="single" w:color="auto" w:sz="8" w:space="0"/>
            </w:tcBorders>
            <w:tcMar>
              <w:left w:w="57" w:type="dxa"/>
              <w:right w:w="57" w:type="dxa"/>
            </w:tcMar>
          </w:tcPr>
          <w:p>
            <w:pPr>
              <w:widowControl/>
              <w:jc w:val="left"/>
              <w:rPr>
                <w:color w:val="000000"/>
              </w:rPr>
            </w:pPr>
            <w:r>
              <w:rPr>
                <w:rFonts w:hint="eastAsia" w:ascii="宋体" w:hAnsi="宋体" w:cs="宋体"/>
                <w:color w:val="000000"/>
                <w:kern w:val="0"/>
                <w:sz w:val="20"/>
                <w:szCs w:val="20"/>
                <w:lang w:bidi="ar"/>
              </w:rPr>
              <w:t>1.属于国家秘密</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tcMar>
              <w:left w:w="57" w:type="dxa"/>
              <w:right w:w="57" w:type="dxa"/>
            </w:tcMar>
          </w:tcPr>
          <w:p>
            <w:pPr>
              <w:widowControl/>
              <w:jc w:val="left"/>
              <w:rPr>
                <w:color w:val="000000"/>
              </w:rPr>
            </w:pPr>
            <w:r>
              <w:rPr>
                <w:rFonts w:hint="eastAsia" w:ascii="宋体" w:hAnsi="宋体" w:cs="宋体"/>
                <w:color w:val="000000"/>
                <w:kern w:val="0"/>
                <w:sz w:val="20"/>
                <w:szCs w:val="20"/>
                <w:lang w:bidi="ar"/>
              </w:rPr>
              <w:t>2.其他法律行政法规禁止公开</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olor w:val="000000"/>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olor w:val="000000"/>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olor w:val="000000"/>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olor w:val="000000"/>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olor w:val="000000"/>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tcMar>
              <w:left w:w="57" w:type="dxa"/>
              <w:right w:w="57" w:type="dxa"/>
            </w:tcMar>
          </w:tcPr>
          <w:p>
            <w:pPr>
              <w:widowControl/>
              <w:jc w:val="left"/>
              <w:rPr>
                <w:color w:val="000000"/>
              </w:rPr>
            </w:pPr>
            <w:r>
              <w:rPr>
                <w:rFonts w:hint="eastAsia" w:ascii="宋体" w:hAnsi="宋体" w:cs="宋体"/>
                <w:color w:val="000000"/>
                <w:kern w:val="0"/>
                <w:sz w:val="20"/>
                <w:szCs w:val="20"/>
                <w:lang w:bidi="ar"/>
              </w:rPr>
              <w:t>3.危及“三安全一稳定”</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tcMar>
              <w:left w:w="57" w:type="dxa"/>
              <w:right w:w="57" w:type="dxa"/>
            </w:tcMar>
          </w:tcPr>
          <w:p>
            <w:pPr>
              <w:widowControl/>
              <w:jc w:val="left"/>
              <w:rPr>
                <w:color w:val="000000"/>
              </w:rPr>
            </w:pPr>
            <w:r>
              <w:rPr>
                <w:rFonts w:hint="eastAsia" w:ascii="宋体" w:hAnsi="宋体" w:cs="宋体"/>
                <w:color w:val="000000"/>
                <w:kern w:val="0"/>
                <w:sz w:val="20"/>
                <w:szCs w:val="20"/>
                <w:lang w:bidi="ar"/>
              </w:rPr>
              <w:t>4.保护第三方合法权益</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tcMar>
              <w:left w:w="57" w:type="dxa"/>
              <w:right w:w="57" w:type="dxa"/>
            </w:tcMar>
          </w:tcPr>
          <w:p>
            <w:pPr>
              <w:widowControl/>
              <w:jc w:val="left"/>
              <w:rPr>
                <w:color w:val="000000"/>
              </w:rPr>
            </w:pPr>
            <w:r>
              <w:rPr>
                <w:rFonts w:hint="eastAsia" w:ascii="宋体" w:hAnsi="宋体" w:cs="宋体"/>
                <w:color w:val="000000"/>
                <w:kern w:val="0"/>
                <w:sz w:val="20"/>
                <w:szCs w:val="20"/>
                <w:lang w:bidi="ar"/>
              </w:rPr>
              <w:t>5.属于三类内部事务信息</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tcMar>
              <w:left w:w="57" w:type="dxa"/>
              <w:right w:w="57" w:type="dxa"/>
            </w:tcMar>
          </w:tcPr>
          <w:p>
            <w:pPr>
              <w:widowControl/>
              <w:jc w:val="left"/>
              <w:rPr>
                <w:color w:val="000000"/>
              </w:rPr>
            </w:pPr>
            <w:r>
              <w:rPr>
                <w:rFonts w:hint="eastAsia" w:ascii="宋体" w:hAnsi="宋体" w:cs="宋体"/>
                <w:color w:val="000000"/>
                <w:kern w:val="0"/>
                <w:sz w:val="20"/>
                <w:szCs w:val="20"/>
                <w:lang w:bidi="ar"/>
              </w:rPr>
              <w:t>6.属于四类过程性信息</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tcMar>
              <w:left w:w="57" w:type="dxa"/>
              <w:right w:w="57" w:type="dxa"/>
            </w:tcMar>
          </w:tcPr>
          <w:p>
            <w:pPr>
              <w:widowControl/>
              <w:jc w:val="left"/>
              <w:rPr>
                <w:color w:val="000000"/>
              </w:rPr>
            </w:pPr>
            <w:r>
              <w:rPr>
                <w:rFonts w:hint="eastAsia" w:ascii="宋体" w:hAnsi="宋体" w:cs="宋体"/>
                <w:color w:val="000000"/>
                <w:kern w:val="0"/>
                <w:sz w:val="20"/>
                <w:szCs w:val="20"/>
                <w:lang w:bidi="ar"/>
              </w:rPr>
              <w:t>7.属于行政执法案卷</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tcMar>
              <w:left w:w="57" w:type="dxa"/>
              <w:right w:w="57" w:type="dxa"/>
            </w:tcMar>
          </w:tcPr>
          <w:p>
            <w:pPr>
              <w:widowControl/>
              <w:jc w:val="left"/>
              <w:rPr>
                <w:color w:val="000000"/>
              </w:rPr>
            </w:pPr>
            <w:r>
              <w:rPr>
                <w:rFonts w:hint="eastAsia" w:ascii="宋体" w:hAnsi="宋体" w:cs="宋体"/>
                <w:color w:val="000000"/>
                <w:kern w:val="0"/>
                <w:sz w:val="20"/>
                <w:szCs w:val="20"/>
                <w:lang w:bidi="ar"/>
              </w:rPr>
              <w:t>8.属于行政查询事项</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color w:val="000000"/>
              </w:rPr>
            </w:pPr>
            <w:r>
              <w:rPr>
                <w:rFonts w:hint="eastAsia" w:ascii="宋体" w:hAnsi="宋体" w:cs="宋体"/>
                <w:color w:val="000000"/>
                <w:kern w:val="0"/>
                <w:sz w:val="20"/>
                <w:szCs w:val="20"/>
                <w:lang w:bidi="ar"/>
              </w:rPr>
              <w:t>（四）无法提供</w:t>
            </w:r>
          </w:p>
        </w:tc>
        <w:tc>
          <w:tcPr>
            <w:tcW w:w="3259" w:type="dxa"/>
            <w:tcBorders>
              <w:top w:val="nil"/>
              <w:left w:val="nil"/>
              <w:bottom w:val="single" w:color="auto" w:sz="8" w:space="0"/>
              <w:right w:val="single" w:color="auto" w:sz="8" w:space="0"/>
            </w:tcBorders>
            <w:tcMar>
              <w:left w:w="57" w:type="dxa"/>
              <w:right w:w="57" w:type="dxa"/>
            </w:tcMar>
          </w:tcPr>
          <w:p>
            <w:pPr>
              <w:widowControl/>
              <w:jc w:val="left"/>
              <w:rPr>
                <w:color w:val="000000"/>
              </w:rPr>
            </w:pPr>
            <w:r>
              <w:rPr>
                <w:rFonts w:hint="eastAsia" w:ascii="宋体" w:hAnsi="宋体" w:cs="宋体"/>
                <w:color w:val="000000"/>
                <w:kern w:val="0"/>
                <w:sz w:val="20"/>
                <w:szCs w:val="20"/>
                <w:lang w:bidi="ar"/>
              </w:rPr>
              <w:t>1.本机关不掌握相关政府信息</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tcMar>
              <w:left w:w="57" w:type="dxa"/>
              <w:right w:w="57" w:type="dxa"/>
            </w:tcMar>
          </w:tcPr>
          <w:p>
            <w:pPr>
              <w:widowControl/>
              <w:jc w:val="left"/>
              <w:rPr>
                <w:color w:val="000000"/>
              </w:rPr>
            </w:pPr>
            <w:r>
              <w:rPr>
                <w:rFonts w:hint="eastAsia" w:ascii="宋体" w:hAnsi="宋体" w:cs="宋体"/>
                <w:color w:val="000000"/>
                <w:kern w:val="0"/>
                <w:sz w:val="20"/>
                <w:szCs w:val="20"/>
                <w:lang w:bidi="ar"/>
              </w:rPr>
              <w:t>2.没有现成信息需要另行制作</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tcMar>
              <w:left w:w="57" w:type="dxa"/>
              <w:right w:w="57" w:type="dxa"/>
            </w:tcMar>
          </w:tcPr>
          <w:p>
            <w:pPr>
              <w:widowControl/>
              <w:jc w:val="left"/>
              <w:rPr>
                <w:color w:val="000000"/>
              </w:rPr>
            </w:pPr>
            <w:r>
              <w:rPr>
                <w:rFonts w:hint="eastAsia" w:ascii="宋体" w:hAnsi="宋体" w:cs="宋体"/>
                <w:color w:val="000000"/>
                <w:kern w:val="0"/>
                <w:sz w:val="20"/>
                <w:szCs w:val="20"/>
                <w:lang w:bidi="ar"/>
              </w:rPr>
              <w:t>3.补正后申请内容仍不明确</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color w:val="000000"/>
              </w:rPr>
            </w:pPr>
            <w:r>
              <w:rPr>
                <w:rFonts w:hint="eastAsia" w:ascii="宋体" w:hAnsi="宋体" w:cs="宋体"/>
                <w:color w:val="000000"/>
                <w:kern w:val="0"/>
                <w:sz w:val="20"/>
                <w:szCs w:val="20"/>
                <w:lang w:bidi="ar"/>
              </w:rPr>
              <w:t>（五）不予处理</w:t>
            </w:r>
          </w:p>
        </w:tc>
        <w:tc>
          <w:tcPr>
            <w:tcW w:w="3259" w:type="dxa"/>
            <w:tcBorders>
              <w:top w:val="nil"/>
              <w:left w:val="nil"/>
              <w:bottom w:val="single" w:color="auto" w:sz="8" w:space="0"/>
              <w:right w:val="single" w:color="auto" w:sz="8" w:space="0"/>
            </w:tcBorders>
            <w:tcMar>
              <w:left w:w="57" w:type="dxa"/>
              <w:right w:w="57" w:type="dxa"/>
            </w:tcMar>
          </w:tcPr>
          <w:p>
            <w:pPr>
              <w:widowControl/>
              <w:jc w:val="left"/>
              <w:rPr>
                <w:color w:val="000000"/>
              </w:rPr>
            </w:pPr>
            <w:r>
              <w:rPr>
                <w:rFonts w:hint="eastAsia" w:ascii="宋体" w:hAnsi="宋体" w:cs="宋体"/>
                <w:color w:val="000000"/>
                <w:kern w:val="0"/>
                <w:sz w:val="20"/>
                <w:szCs w:val="20"/>
                <w:lang w:bidi="ar"/>
              </w:rPr>
              <w:t>1.信访举报投诉类申请</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tcMar>
              <w:left w:w="57" w:type="dxa"/>
              <w:right w:w="57" w:type="dxa"/>
            </w:tcMar>
          </w:tcPr>
          <w:p>
            <w:pPr>
              <w:widowControl/>
              <w:jc w:val="left"/>
              <w:rPr>
                <w:color w:val="000000"/>
              </w:rPr>
            </w:pPr>
            <w:r>
              <w:rPr>
                <w:rFonts w:hint="eastAsia" w:ascii="宋体" w:hAnsi="宋体" w:cs="宋体"/>
                <w:color w:val="000000"/>
                <w:kern w:val="0"/>
                <w:sz w:val="20"/>
                <w:szCs w:val="20"/>
                <w:lang w:bidi="ar"/>
              </w:rPr>
              <w:t>2.重复申请</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tcMar>
              <w:left w:w="57" w:type="dxa"/>
              <w:right w:w="57" w:type="dxa"/>
            </w:tcMar>
          </w:tcPr>
          <w:p>
            <w:pPr>
              <w:widowControl/>
              <w:jc w:val="left"/>
              <w:rPr>
                <w:color w:val="000000"/>
              </w:rPr>
            </w:pPr>
            <w:r>
              <w:rPr>
                <w:rFonts w:hint="eastAsia" w:ascii="宋体" w:hAnsi="宋体" w:cs="宋体"/>
                <w:color w:val="000000"/>
                <w:kern w:val="0"/>
                <w:sz w:val="20"/>
                <w:szCs w:val="20"/>
                <w:lang w:bidi="ar"/>
              </w:rPr>
              <w:t>3.要求提供公开出版物</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tcMar>
              <w:left w:w="57" w:type="dxa"/>
              <w:right w:w="57" w:type="dxa"/>
            </w:tcMar>
          </w:tcPr>
          <w:p>
            <w:pPr>
              <w:widowControl/>
              <w:jc w:val="left"/>
              <w:rPr>
                <w:color w:val="000000"/>
              </w:rPr>
            </w:pPr>
            <w:r>
              <w:rPr>
                <w:rFonts w:hint="eastAsia" w:ascii="宋体" w:hAnsi="宋体" w:cs="宋体"/>
                <w:color w:val="000000"/>
                <w:kern w:val="0"/>
                <w:sz w:val="20"/>
                <w:szCs w:val="20"/>
                <w:lang w:bidi="ar"/>
              </w:rPr>
              <w:t>4.无正当理由大量反复申请</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7"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color w:val="000000"/>
                <w:sz w:val="24"/>
              </w:rPr>
            </w:pPr>
          </w:p>
        </w:tc>
        <w:tc>
          <w:tcPr>
            <w:tcW w:w="3259" w:type="dxa"/>
            <w:tcBorders>
              <w:top w:val="nil"/>
              <w:left w:val="nil"/>
              <w:bottom w:val="outset" w:color="auto" w:sz="8" w:space="0"/>
              <w:right w:val="single" w:color="auto" w:sz="8" w:space="0"/>
            </w:tcBorders>
            <w:tcMar>
              <w:left w:w="57" w:type="dxa"/>
              <w:right w:w="57" w:type="dxa"/>
            </w:tcMar>
            <w:vAlign w:val="center"/>
          </w:tcPr>
          <w:p>
            <w:pPr>
              <w:widowControl/>
              <w:rPr>
                <w:color w:val="000000"/>
              </w:rPr>
            </w:pPr>
            <w:r>
              <w:rPr>
                <w:rFonts w:hint="eastAsia" w:ascii="宋体" w:hAnsi="宋体" w:cs="宋体"/>
                <w:color w:val="000000"/>
                <w:kern w:val="0"/>
                <w:sz w:val="20"/>
                <w:szCs w:val="20"/>
                <w:lang w:bidi="ar"/>
              </w:rPr>
              <w:t>5.要求行政机关确认或重新出具已获取信息</w:t>
            </w:r>
          </w:p>
        </w:tc>
        <w:tc>
          <w:tcPr>
            <w:tcW w:w="695" w:type="dxa"/>
            <w:tcBorders>
              <w:top w:val="nil"/>
              <w:left w:val="nil"/>
              <w:bottom w:val="outset"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outset"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outset"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outset"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outset"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outset"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outset"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7"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widowControl/>
              <w:jc w:val="left"/>
              <w:rPr>
                <w:color w:val="000000"/>
              </w:rPr>
            </w:pPr>
            <w:r>
              <w:rPr>
                <w:rFonts w:hint="eastAsia" w:ascii="宋体" w:hAnsi="宋体" w:cs="宋体"/>
                <w:color w:val="000000"/>
                <w:kern w:val="0"/>
                <w:sz w:val="20"/>
                <w:szCs w:val="20"/>
                <w:lang w:bidi="ar"/>
              </w:rPr>
              <w:t>（六）其他处理</w:t>
            </w:r>
          </w:p>
        </w:tc>
        <w:tc>
          <w:tcPr>
            <w:tcW w:w="3259" w:type="dxa"/>
            <w:tcBorders>
              <w:top w:val="nil"/>
              <w:left w:val="nil"/>
              <w:bottom w:val="single" w:color="auto" w:sz="8" w:space="0"/>
              <w:right w:val="single" w:color="auto" w:sz="8" w:space="0"/>
            </w:tcBorders>
            <w:tcMar>
              <w:left w:w="57" w:type="dxa"/>
              <w:right w:w="57" w:type="dxa"/>
            </w:tcMar>
            <w:vAlign w:val="center"/>
          </w:tcPr>
          <w:p>
            <w:pPr>
              <w:widowControl/>
              <w:rPr>
                <w:color w:val="000000"/>
              </w:rPr>
            </w:pPr>
            <w:r>
              <w:rPr>
                <w:rFonts w:hint="eastAsia" w:ascii="宋体" w:hAnsi="宋体" w:cs="宋体"/>
                <w:color w:val="000000"/>
                <w:kern w:val="0"/>
                <w:sz w:val="20"/>
                <w:szCs w:val="20"/>
                <w:lang w:bidi="ar"/>
              </w:rPr>
              <w:t>1.申请人无正当理由逾期不补正、行政机关不再处理其政府信息公开申请</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7"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tcMar>
              <w:left w:w="57" w:type="dxa"/>
              <w:right w:w="57" w:type="dxa"/>
            </w:tcMar>
            <w:vAlign w:val="center"/>
          </w:tcPr>
          <w:p>
            <w:pPr>
              <w:widowControl/>
              <w:rPr>
                <w:color w:val="000000"/>
              </w:rPr>
            </w:pPr>
            <w:r>
              <w:rPr>
                <w:rFonts w:hint="eastAsia" w:ascii="宋体" w:hAnsi="宋体" w:cs="宋体"/>
                <w:color w:val="000000"/>
                <w:kern w:val="0"/>
                <w:sz w:val="20"/>
                <w:szCs w:val="20"/>
                <w:lang w:bidi="ar"/>
              </w:rPr>
              <w:t>2.申请人逾期未按收费通知要求缴纳费用、行政机关不再处理其政府信息公开申请</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95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color w:val="000000"/>
                <w:sz w:val="24"/>
              </w:rPr>
            </w:pPr>
          </w:p>
        </w:tc>
        <w:tc>
          <w:tcPr>
            <w:tcW w:w="3259" w:type="dxa"/>
            <w:tcBorders>
              <w:top w:val="nil"/>
              <w:left w:val="nil"/>
              <w:bottom w:val="single" w:color="auto" w:sz="8" w:space="0"/>
              <w:right w:val="single" w:color="auto" w:sz="8" w:space="0"/>
            </w:tcBorders>
            <w:tcMar>
              <w:left w:w="57" w:type="dxa"/>
              <w:right w:w="57" w:type="dxa"/>
            </w:tcMar>
            <w:vAlign w:val="center"/>
          </w:tcPr>
          <w:p>
            <w:pPr>
              <w:widowControl/>
              <w:jc w:val="left"/>
              <w:rPr>
                <w:color w:val="000000"/>
              </w:rPr>
            </w:pPr>
            <w:r>
              <w:rPr>
                <w:rFonts w:hint="eastAsia" w:ascii="宋体" w:hAnsi="宋体" w:cs="宋体"/>
                <w:color w:val="000000"/>
                <w:kern w:val="0"/>
                <w:sz w:val="20"/>
                <w:szCs w:val="20"/>
                <w:lang w:bidi="ar"/>
              </w:rPr>
              <w:t>3.其他</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sz w:val="24"/>
              </w:rPr>
            </w:pPr>
          </w:p>
        </w:tc>
        <w:tc>
          <w:tcPr>
            <w:tcW w:w="4212"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color w:val="000000"/>
              </w:rPr>
            </w:pPr>
            <w:r>
              <w:rPr>
                <w:rFonts w:hint="eastAsia" w:ascii="宋体" w:hAnsi="宋体" w:cs="宋体"/>
                <w:color w:val="000000"/>
                <w:kern w:val="0"/>
                <w:sz w:val="20"/>
                <w:szCs w:val="20"/>
                <w:lang w:bidi="ar"/>
              </w:rPr>
              <w:t>（七）总计</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6" w:hRule="atLeast"/>
          <w:jc w:val="center"/>
        </w:trPr>
        <w:tc>
          <w:tcPr>
            <w:tcW w:w="4987"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color w:val="000000"/>
              </w:rPr>
            </w:pPr>
            <w:r>
              <w:rPr>
                <w:rFonts w:hint="eastAsia" w:ascii="宋体" w:hAnsi="宋体" w:cs="宋体"/>
                <w:color w:val="000000"/>
                <w:kern w:val="0"/>
                <w:sz w:val="20"/>
                <w:szCs w:val="20"/>
                <w:lang w:bidi="ar"/>
              </w:rPr>
              <w:t>四、结转下年度继续办理</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84" w:type="dxa"/>
            <w:tcBorders>
              <w:top w:val="nil"/>
              <w:left w:val="nil"/>
              <w:bottom w:val="single" w:color="auto" w:sz="8" w:space="0"/>
              <w:right w:val="single" w:color="auto" w:sz="8" w:space="0"/>
            </w:tcBorders>
            <w:tcMar>
              <w:left w:w="57" w:type="dxa"/>
              <w:right w:w="57" w:type="dxa"/>
            </w:tcMar>
            <w:vAlign w:val="center"/>
          </w:tcPr>
          <w:p>
            <w:pPr>
              <w:widowControl/>
              <w:jc w:val="center"/>
              <w:rPr>
                <w:color w:val="000000"/>
              </w:rPr>
            </w:pPr>
            <w:r>
              <w:rPr>
                <w:rFonts w:hint="eastAsia" w:cs="Calibri"/>
                <w:color w:val="000000"/>
                <w:kern w:val="0"/>
                <w:sz w:val="20"/>
                <w:szCs w:val="20"/>
                <w:lang w:bidi="ar"/>
              </w:rPr>
              <w:t>0</w:t>
            </w:r>
          </w:p>
        </w:tc>
        <w:tc>
          <w:tcPr>
            <w:tcW w:w="500" w:type="dxa"/>
            <w:tcBorders>
              <w:top w:val="nil"/>
              <w:left w:val="nil"/>
              <w:bottom w:val="single" w:color="auto" w:sz="8" w:space="0"/>
              <w:right w:val="single" w:color="auto" w:sz="8" w:space="0"/>
            </w:tcBorders>
            <w:tcMar>
              <w:left w:w="57" w:type="dxa"/>
              <w:right w:w="57" w:type="dxa"/>
            </w:tcMar>
            <w:vAlign w:val="center"/>
          </w:tcPr>
          <w:p>
            <w:pPr>
              <w:jc w:val="center"/>
              <w:rPr>
                <w:rFonts w:ascii="宋体"/>
                <w:color w:val="000000"/>
                <w:sz w:val="24"/>
              </w:rPr>
            </w:pPr>
            <w:r>
              <w:rPr>
                <w:rFonts w:hint="eastAsia" w:ascii="宋体"/>
                <w:color w:val="000000"/>
                <w:sz w:val="24"/>
              </w:rPr>
              <w:t>0</w:t>
            </w:r>
          </w:p>
        </w:tc>
      </w:tr>
    </w:tbl>
    <w:p>
      <w:pPr>
        <w:widowControl/>
        <w:shd w:val="clear" w:color="auto" w:fill="FFFFFF"/>
        <w:rPr>
          <w:rFonts w:ascii="宋体" w:hAnsi="宋体" w:cs="宋体"/>
          <w:color w:val="000000"/>
          <w:sz w:val="24"/>
        </w:rPr>
      </w:pPr>
    </w:p>
    <w:p>
      <w:pPr>
        <w:pStyle w:val="6"/>
        <w:widowControl/>
        <w:shd w:val="clear" w:color="auto" w:fill="FFFFFF"/>
        <w:spacing w:before="0" w:beforeAutospacing="0" w:after="0" w:afterAutospacing="0" w:line="540" w:lineRule="exact"/>
        <w:ind w:firstLine="420"/>
        <w:jc w:val="both"/>
        <w:rPr>
          <w:rFonts w:ascii="黑体" w:hAnsi="黑体" w:eastAsia="黑体" w:cs="黑体"/>
          <w:bCs/>
          <w:color w:val="000000"/>
          <w:shd w:val="clear" w:color="auto" w:fill="FFFFFF"/>
        </w:rPr>
      </w:pPr>
      <w:r>
        <w:rPr>
          <w:rFonts w:hint="eastAsia" w:ascii="黑体" w:hAnsi="黑体" w:eastAsia="黑体" w:cs="黑体"/>
          <w:bCs/>
          <w:color w:val="000000"/>
          <w:sz w:val="32"/>
          <w:szCs w:val="32"/>
          <w:shd w:val="clear" w:color="auto" w:fill="FFFFFF"/>
        </w:rPr>
        <w:t>四、政府信息公开行政复议、行政诉讼情况</w:t>
      </w:r>
    </w:p>
    <w:tbl>
      <w:tblPr>
        <w:tblStyle w:val="7"/>
        <w:tblW w:w="9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2"/>
        <w:gridCol w:w="652"/>
        <w:gridCol w:w="652"/>
        <w:gridCol w:w="652"/>
        <w:gridCol w:w="654"/>
        <w:gridCol w:w="652"/>
        <w:gridCol w:w="652"/>
        <w:gridCol w:w="653"/>
        <w:gridCol w:w="653"/>
        <w:gridCol w:w="655"/>
        <w:gridCol w:w="654"/>
        <w:gridCol w:w="654"/>
        <w:gridCol w:w="654"/>
        <w:gridCol w:w="654"/>
        <w:gridCol w:w="6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326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宋体" w:hAnsi="宋体" w:cs="宋体"/>
                <w:color w:val="000000"/>
                <w:kern w:val="0"/>
                <w:sz w:val="20"/>
                <w:szCs w:val="20"/>
                <w:lang w:bidi="ar"/>
              </w:rPr>
              <w:t>行政复议</w:t>
            </w:r>
          </w:p>
        </w:tc>
        <w:tc>
          <w:tcPr>
            <w:tcW w:w="6537"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宋体" w:hAnsi="宋体" w:cs="宋体"/>
                <w:color w:val="000000"/>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52"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宋体" w:hAnsi="宋体" w:cs="宋体"/>
                <w:color w:val="000000"/>
                <w:kern w:val="0"/>
                <w:sz w:val="20"/>
                <w:szCs w:val="20"/>
                <w:lang w:bidi="ar"/>
              </w:rPr>
              <w:t>结果维持</w:t>
            </w:r>
          </w:p>
        </w:tc>
        <w:tc>
          <w:tcPr>
            <w:tcW w:w="652"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结果</w:t>
            </w:r>
          </w:p>
          <w:p>
            <w:pPr>
              <w:widowControl/>
              <w:jc w:val="center"/>
              <w:rPr>
                <w:color w:val="000000"/>
              </w:rPr>
            </w:pPr>
            <w:r>
              <w:rPr>
                <w:rFonts w:hint="eastAsia" w:ascii="宋体" w:hAnsi="宋体" w:cs="宋体"/>
                <w:color w:val="000000"/>
                <w:kern w:val="0"/>
                <w:sz w:val="20"/>
                <w:szCs w:val="20"/>
                <w:lang w:bidi="ar"/>
              </w:rPr>
              <w:t>纠正</w:t>
            </w:r>
          </w:p>
        </w:tc>
        <w:tc>
          <w:tcPr>
            <w:tcW w:w="65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其他</w:t>
            </w:r>
          </w:p>
          <w:p>
            <w:pPr>
              <w:widowControl/>
              <w:jc w:val="center"/>
              <w:rPr>
                <w:color w:val="000000"/>
              </w:rPr>
            </w:pPr>
            <w:r>
              <w:rPr>
                <w:rFonts w:hint="eastAsia" w:ascii="宋体" w:hAnsi="宋体" w:cs="宋体"/>
                <w:color w:val="000000"/>
                <w:kern w:val="0"/>
                <w:sz w:val="20"/>
                <w:szCs w:val="20"/>
                <w:lang w:bidi="ar"/>
              </w:rPr>
              <w:t>结果</w:t>
            </w:r>
          </w:p>
        </w:tc>
        <w:tc>
          <w:tcPr>
            <w:tcW w:w="65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尚未</w:t>
            </w:r>
          </w:p>
          <w:p>
            <w:pPr>
              <w:widowControl/>
              <w:jc w:val="center"/>
              <w:rPr>
                <w:color w:val="000000"/>
              </w:rPr>
            </w:pPr>
            <w:r>
              <w:rPr>
                <w:rFonts w:hint="eastAsia" w:ascii="宋体" w:hAnsi="宋体" w:cs="宋体"/>
                <w:color w:val="000000"/>
                <w:kern w:val="0"/>
                <w:sz w:val="20"/>
                <w:szCs w:val="20"/>
                <w:lang w:bidi="ar"/>
              </w:rPr>
              <w:t>审结</w:t>
            </w:r>
          </w:p>
        </w:tc>
        <w:tc>
          <w:tcPr>
            <w:tcW w:w="654"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宋体" w:hAnsi="宋体" w:cs="宋体"/>
                <w:color w:val="000000"/>
                <w:kern w:val="0"/>
                <w:sz w:val="20"/>
                <w:szCs w:val="20"/>
                <w:lang w:bidi="ar"/>
              </w:rPr>
              <w:t>总计</w:t>
            </w:r>
          </w:p>
        </w:tc>
        <w:tc>
          <w:tcPr>
            <w:tcW w:w="326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宋体" w:hAnsi="宋体" w:cs="宋体"/>
                <w:color w:val="000000"/>
                <w:kern w:val="0"/>
                <w:sz w:val="20"/>
                <w:szCs w:val="20"/>
                <w:lang w:bidi="ar"/>
              </w:rPr>
              <w:t>未经复议直接起诉</w:t>
            </w:r>
          </w:p>
        </w:tc>
        <w:tc>
          <w:tcPr>
            <w:tcW w:w="327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宋体" w:hAnsi="宋体" w:cs="宋体"/>
                <w:color w:val="000000"/>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3" w:hRule="atLeast"/>
          <w:jc w:val="center"/>
        </w:trPr>
        <w:tc>
          <w:tcPr>
            <w:tcW w:w="65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olor w:val="000000"/>
                <w:sz w:val="24"/>
              </w:rPr>
            </w:pPr>
          </w:p>
        </w:tc>
        <w:tc>
          <w:tcPr>
            <w:tcW w:w="65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olor w:val="000000"/>
                <w:sz w:val="24"/>
              </w:rPr>
            </w:pPr>
          </w:p>
        </w:tc>
        <w:tc>
          <w:tcPr>
            <w:tcW w:w="65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color w:val="000000"/>
                <w:sz w:val="24"/>
              </w:rPr>
            </w:pPr>
          </w:p>
        </w:tc>
        <w:tc>
          <w:tcPr>
            <w:tcW w:w="65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color w:val="000000"/>
                <w:sz w:val="24"/>
              </w:rPr>
            </w:pPr>
          </w:p>
        </w:tc>
        <w:tc>
          <w:tcPr>
            <w:tcW w:w="654"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color w:val="000000"/>
                <w:sz w:val="24"/>
              </w:rPr>
            </w:pPr>
          </w:p>
        </w:tc>
        <w:tc>
          <w:tcPr>
            <w:tcW w:w="65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结果</w:t>
            </w:r>
          </w:p>
          <w:p>
            <w:pPr>
              <w:widowControl/>
              <w:jc w:val="center"/>
              <w:rPr>
                <w:color w:val="000000"/>
              </w:rPr>
            </w:pPr>
            <w:r>
              <w:rPr>
                <w:rFonts w:hint="eastAsia" w:ascii="宋体" w:hAnsi="宋体" w:cs="宋体"/>
                <w:color w:val="000000"/>
                <w:kern w:val="0"/>
                <w:sz w:val="20"/>
                <w:szCs w:val="20"/>
                <w:lang w:bidi="ar"/>
              </w:rPr>
              <w:t>维持</w:t>
            </w:r>
          </w:p>
        </w:tc>
        <w:tc>
          <w:tcPr>
            <w:tcW w:w="65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结果</w:t>
            </w:r>
          </w:p>
          <w:p>
            <w:pPr>
              <w:widowControl/>
              <w:jc w:val="center"/>
              <w:rPr>
                <w:color w:val="000000"/>
              </w:rPr>
            </w:pPr>
            <w:r>
              <w:rPr>
                <w:rFonts w:hint="eastAsia" w:ascii="宋体" w:hAnsi="宋体" w:cs="宋体"/>
                <w:color w:val="000000"/>
                <w:kern w:val="0"/>
                <w:sz w:val="20"/>
                <w:szCs w:val="20"/>
                <w:lang w:bidi="ar"/>
              </w:rPr>
              <w:t>纠正</w:t>
            </w:r>
          </w:p>
        </w:tc>
        <w:tc>
          <w:tcPr>
            <w:tcW w:w="65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其他</w:t>
            </w:r>
          </w:p>
          <w:p>
            <w:pPr>
              <w:widowControl/>
              <w:jc w:val="center"/>
              <w:rPr>
                <w:color w:val="000000"/>
              </w:rPr>
            </w:pPr>
            <w:r>
              <w:rPr>
                <w:rFonts w:hint="eastAsia" w:ascii="宋体" w:hAnsi="宋体" w:cs="宋体"/>
                <w:color w:val="000000"/>
                <w:kern w:val="0"/>
                <w:sz w:val="20"/>
                <w:szCs w:val="20"/>
                <w:lang w:bidi="ar"/>
              </w:rPr>
              <w:t>结果</w:t>
            </w:r>
          </w:p>
        </w:tc>
        <w:tc>
          <w:tcPr>
            <w:tcW w:w="65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尚未</w:t>
            </w:r>
          </w:p>
          <w:p>
            <w:pPr>
              <w:widowControl/>
              <w:jc w:val="center"/>
              <w:rPr>
                <w:color w:val="000000"/>
              </w:rPr>
            </w:pPr>
            <w:r>
              <w:rPr>
                <w:rFonts w:hint="eastAsia" w:ascii="宋体" w:hAnsi="宋体" w:cs="宋体"/>
                <w:color w:val="000000"/>
                <w:kern w:val="0"/>
                <w:sz w:val="20"/>
                <w:szCs w:val="20"/>
                <w:lang w:bidi="ar"/>
              </w:rPr>
              <w:t>审结</w:t>
            </w:r>
          </w:p>
        </w:tc>
        <w:tc>
          <w:tcPr>
            <w:tcW w:w="6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宋体" w:hAnsi="宋体" w:cs="宋体"/>
                <w:color w:val="000000"/>
                <w:kern w:val="0"/>
                <w:sz w:val="20"/>
                <w:szCs w:val="20"/>
                <w:lang w:bidi="ar"/>
              </w:rPr>
              <w:t>总计</w:t>
            </w:r>
          </w:p>
        </w:tc>
        <w:tc>
          <w:tcPr>
            <w:tcW w:w="6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结果</w:t>
            </w:r>
          </w:p>
          <w:p>
            <w:pPr>
              <w:widowControl/>
              <w:jc w:val="center"/>
              <w:rPr>
                <w:color w:val="000000"/>
              </w:rPr>
            </w:pPr>
            <w:r>
              <w:rPr>
                <w:rFonts w:hint="eastAsia" w:ascii="宋体" w:hAnsi="宋体" w:cs="宋体"/>
                <w:color w:val="000000"/>
                <w:kern w:val="0"/>
                <w:sz w:val="20"/>
                <w:szCs w:val="20"/>
                <w:lang w:bidi="ar"/>
              </w:rPr>
              <w:t>维持</w:t>
            </w:r>
          </w:p>
        </w:tc>
        <w:tc>
          <w:tcPr>
            <w:tcW w:w="6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结果</w:t>
            </w:r>
          </w:p>
          <w:p>
            <w:pPr>
              <w:widowControl/>
              <w:jc w:val="center"/>
              <w:rPr>
                <w:color w:val="000000"/>
              </w:rPr>
            </w:pPr>
            <w:r>
              <w:rPr>
                <w:rFonts w:hint="eastAsia" w:ascii="宋体" w:hAnsi="宋体" w:cs="宋体"/>
                <w:color w:val="000000"/>
                <w:kern w:val="0"/>
                <w:sz w:val="20"/>
                <w:szCs w:val="20"/>
                <w:lang w:bidi="ar"/>
              </w:rPr>
              <w:t>纠正</w:t>
            </w:r>
          </w:p>
        </w:tc>
        <w:tc>
          <w:tcPr>
            <w:tcW w:w="6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其他</w:t>
            </w:r>
          </w:p>
          <w:p>
            <w:pPr>
              <w:widowControl/>
              <w:jc w:val="center"/>
              <w:rPr>
                <w:color w:val="000000"/>
              </w:rPr>
            </w:pPr>
            <w:r>
              <w:rPr>
                <w:rFonts w:hint="eastAsia" w:ascii="宋体" w:hAnsi="宋体" w:cs="宋体"/>
                <w:color w:val="000000"/>
                <w:kern w:val="0"/>
                <w:sz w:val="20"/>
                <w:szCs w:val="20"/>
                <w:lang w:bidi="ar"/>
              </w:rPr>
              <w:t>结果</w:t>
            </w:r>
          </w:p>
        </w:tc>
        <w:tc>
          <w:tcPr>
            <w:tcW w:w="6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尚未</w:t>
            </w:r>
          </w:p>
          <w:p>
            <w:pPr>
              <w:widowControl/>
              <w:jc w:val="center"/>
              <w:rPr>
                <w:color w:val="000000"/>
              </w:rPr>
            </w:pPr>
            <w:r>
              <w:rPr>
                <w:rFonts w:hint="eastAsia" w:ascii="宋体" w:hAnsi="宋体" w:cs="宋体"/>
                <w:color w:val="000000"/>
                <w:kern w:val="0"/>
                <w:sz w:val="20"/>
                <w:szCs w:val="20"/>
                <w:lang w:bidi="ar"/>
              </w:rPr>
              <w:t>审结</w:t>
            </w:r>
          </w:p>
        </w:tc>
        <w:tc>
          <w:tcPr>
            <w:tcW w:w="65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4" w:hRule="atLeast"/>
          <w:jc w:val="center"/>
        </w:trPr>
        <w:tc>
          <w:tcPr>
            <w:tcW w:w="65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bidi="ar"/>
              </w:rPr>
              <w:t>0</w:t>
            </w:r>
            <w:r>
              <w:rPr>
                <w:rFonts w:ascii="黑体" w:hAnsi="宋体" w:eastAsia="黑体" w:cs="黑体"/>
                <w:color w:val="000000"/>
                <w:kern w:val="0"/>
                <w:sz w:val="20"/>
                <w:szCs w:val="20"/>
                <w:lang w:bidi="ar"/>
              </w:rPr>
              <w:t> </w:t>
            </w:r>
          </w:p>
        </w:tc>
        <w:tc>
          <w:tcPr>
            <w:tcW w:w="65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bidi="ar"/>
              </w:rPr>
              <w:t>0</w:t>
            </w:r>
          </w:p>
        </w:tc>
        <w:tc>
          <w:tcPr>
            <w:tcW w:w="65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bidi="ar"/>
              </w:rPr>
              <w:t>0</w:t>
            </w:r>
          </w:p>
        </w:tc>
        <w:tc>
          <w:tcPr>
            <w:tcW w:w="65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bidi="ar"/>
              </w:rPr>
              <w:t>0</w:t>
            </w:r>
          </w:p>
        </w:tc>
        <w:tc>
          <w:tcPr>
            <w:tcW w:w="654"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bidi="ar"/>
              </w:rPr>
              <w:t>0</w:t>
            </w:r>
          </w:p>
        </w:tc>
        <w:tc>
          <w:tcPr>
            <w:tcW w:w="65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bidi="ar"/>
              </w:rPr>
              <w:t>0</w:t>
            </w:r>
          </w:p>
        </w:tc>
        <w:tc>
          <w:tcPr>
            <w:tcW w:w="65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bidi="ar"/>
              </w:rPr>
              <w:t>0</w:t>
            </w:r>
          </w:p>
        </w:tc>
        <w:tc>
          <w:tcPr>
            <w:tcW w:w="65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bidi="ar"/>
              </w:rPr>
              <w:t>0</w:t>
            </w:r>
          </w:p>
        </w:tc>
        <w:tc>
          <w:tcPr>
            <w:tcW w:w="65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bidi="ar"/>
              </w:rPr>
              <w:t>0</w:t>
            </w:r>
          </w:p>
        </w:tc>
        <w:tc>
          <w:tcPr>
            <w:tcW w:w="655"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bidi="ar"/>
              </w:rPr>
              <w:t>0</w:t>
            </w:r>
          </w:p>
        </w:tc>
        <w:tc>
          <w:tcPr>
            <w:tcW w:w="654"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bidi="ar"/>
              </w:rPr>
              <w:t>0</w:t>
            </w:r>
          </w:p>
        </w:tc>
        <w:tc>
          <w:tcPr>
            <w:tcW w:w="654"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bidi="ar"/>
              </w:rPr>
              <w:t>0</w:t>
            </w:r>
          </w:p>
        </w:tc>
        <w:tc>
          <w:tcPr>
            <w:tcW w:w="654"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bidi="ar"/>
              </w:rPr>
              <w:t>0</w:t>
            </w:r>
          </w:p>
        </w:tc>
        <w:tc>
          <w:tcPr>
            <w:tcW w:w="654"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bidi="ar"/>
              </w:rPr>
              <w:t>0</w:t>
            </w:r>
          </w:p>
        </w:tc>
        <w:tc>
          <w:tcPr>
            <w:tcW w:w="656"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olor w:val="000000"/>
                <w:sz w:val="24"/>
              </w:rPr>
            </w:pPr>
            <w:r>
              <w:rPr>
                <w:rFonts w:hint="eastAsia" w:ascii="宋体"/>
                <w:color w:val="000000"/>
                <w:sz w:val="24"/>
              </w:rPr>
              <w:t>0</w:t>
            </w:r>
          </w:p>
        </w:tc>
      </w:tr>
    </w:tbl>
    <w:p>
      <w:pPr>
        <w:widowControl/>
        <w:jc w:val="left"/>
        <w:rPr>
          <w:color w:val="000000"/>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420"/>
        <w:jc w:val="both"/>
        <w:textAlignment w:val="auto"/>
        <w:rPr>
          <w:rFonts w:ascii="黑体" w:hAnsi="黑体" w:eastAsia="黑体" w:cs="黑体"/>
          <w:bCs/>
          <w:color w:val="000000"/>
          <w:shd w:val="clear" w:color="auto" w:fill="FFFFFF"/>
        </w:rPr>
      </w:pPr>
      <w:r>
        <w:rPr>
          <w:rFonts w:hint="eastAsia" w:ascii="黑体" w:hAnsi="黑体" w:eastAsia="黑体" w:cs="黑体"/>
          <w:bCs/>
          <w:color w:val="000000"/>
          <w:sz w:val="32"/>
          <w:szCs w:val="32"/>
          <w:shd w:val="clear" w:color="auto" w:fill="FFFFFF"/>
        </w:rPr>
        <w:t>五、存在的主要问题及改进情况</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420"/>
        <w:jc w:val="both"/>
        <w:textAlignment w:val="auto"/>
        <w:rPr>
          <w:rFonts w:ascii="仿宋" w:hAnsi="仿宋" w:eastAsia="仿宋" w:cs="仿宋"/>
          <w:bCs/>
          <w:color w:val="000000"/>
          <w:sz w:val="32"/>
          <w:szCs w:val="32"/>
          <w:shd w:val="clear" w:color="auto" w:fill="FFFFFF"/>
        </w:rPr>
      </w:pPr>
      <w:r>
        <w:rPr>
          <w:rFonts w:hint="eastAsia" w:ascii="楷体" w:hAnsi="楷体" w:eastAsia="楷体" w:cs="仿宋"/>
          <w:b/>
          <w:bCs/>
          <w:color w:val="000000"/>
          <w:sz w:val="32"/>
          <w:szCs w:val="32"/>
          <w:shd w:val="clear" w:color="auto" w:fill="FFFFFF"/>
        </w:rPr>
        <w:t>存在问题：</w:t>
      </w:r>
      <w:r>
        <w:rPr>
          <w:rFonts w:hint="eastAsia" w:ascii="仿宋" w:hAnsi="仿宋" w:eastAsia="仿宋" w:cs="仿宋"/>
          <w:bCs/>
          <w:color w:val="000000"/>
          <w:sz w:val="32"/>
          <w:szCs w:val="32"/>
          <w:shd w:val="clear" w:color="auto" w:fill="FFFFFF"/>
        </w:rPr>
        <w:t>我镇在信息公开工作中取得了一定的进步，但仍然存在一定短板，一是信息更新不及时的现象仍然存在，公开内容和形式有待丰富；二是村民参与政务公开工作的意识单薄，互动不够；三是政务公开工作缺少具有一定专业知识的人才，队伍建设还需进一步加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420"/>
        <w:jc w:val="both"/>
        <w:textAlignment w:val="auto"/>
        <w:rPr>
          <w:rFonts w:ascii="楷体" w:hAnsi="楷体" w:eastAsia="楷体" w:cs="仿宋"/>
          <w:b/>
          <w:bCs/>
          <w:color w:val="000000"/>
          <w:sz w:val="32"/>
          <w:szCs w:val="32"/>
          <w:shd w:val="clear" w:color="auto" w:fill="FFFFFF"/>
        </w:rPr>
      </w:pPr>
      <w:r>
        <w:rPr>
          <w:rFonts w:hint="eastAsia" w:ascii="楷体" w:hAnsi="楷体" w:eastAsia="楷体" w:cs="仿宋"/>
          <w:b/>
          <w:bCs/>
          <w:color w:val="000000"/>
          <w:sz w:val="32"/>
          <w:szCs w:val="32"/>
          <w:shd w:val="clear" w:color="auto" w:fill="FFFFFF"/>
        </w:rPr>
        <w:t>改进情况：</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420"/>
        <w:jc w:val="both"/>
        <w:textAlignment w:val="auto"/>
        <w:rPr>
          <w:rFonts w:ascii="仿宋" w:hAnsi="仿宋" w:eastAsia="仿宋" w:cs="仿宋"/>
          <w:bCs/>
          <w:color w:val="000000"/>
          <w:sz w:val="32"/>
          <w:szCs w:val="32"/>
          <w:shd w:val="clear" w:color="auto" w:fill="FFFFFF"/>
        </w:rPr>
      </w:pPr>
      <w:r>
        <w:rPr>
          <w:rFonts w:hint="eastAsia" w:ascii="仿宋" w:hAnsi="仿宋" w:eastAsia="仿宋" w:cs="仿宋"/>
          <w:bCs/>
          <w:color w:val="000000"/>
          <w:sz w:val="32"/>
          <w:szCs w:val="32"/>
          <w:shd w:val="clear" w:color="auto" w:fill="FFFFFF"/>
        </w:rPr>
        <w:t>一是继续完善公开工作机制。针对政府信息上传更新不及时，发布信息量不足等问题，制定完善相关管理制度，进一步明确责任，进一步梳理政府信息，及时提供，定期维护，确保政府信息公开工作能按照既定的工作流程有效运作，方便公众查询。</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420"/>
        <w:jc w:val="both"/>
        <w:textAlignment w:val="auto"/>
        <w:rPr>
          <w:rFonts w:ascii="仿宋" w:hAnsi="仿宋" w:eastAsia="仿宋" w:cs="仿宋"/>
          <w:bCs/>
          <w:color w:val="000000"/>
          <w:sz w:val="32"/>
          <w:szCs w:val="32"/>
          <w:shd w:val="clear" w:color="auto" w:fill="FFFFFF"/>
        </w:rPr>
      </w:pPr>
      <w:r>
        <w:rPr>
          <w:rFonts w:hint="eastAsia" w:ascii="仿宋" w:hAnsi="仿宋" w:eastAsia="仿宋" w:cs="仿宋"/>
          <w:bCs/>
          <w:color w:val="000000"/>
          <w:sz w:val="32"/>
          <w:szCs w:val="32"/>
          <w:shd w:val="clear" w:color="auto" w:fill="FFFFFF"/>
        </w:rPr>
        <w:t>二是拓宽公开渠道，加大宣传力度。充分利用信息化的手段，拓宽信息公开工作的渠道，以政府门户网站和政府、村委会公开宣传栏为主要载体，实现线上公开和线下宣传相结合，丰富信息公开工作的形式，加大信息公开力度，营造良好舆论氛围。</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420"/>
        <w:jc w:val="both"/>
        <w:textAlignment w:val="auto"/>
        <w:rPr>
          <w:rFonts w:hint="eastAsia" w:ascii="仿宋" w:hAnsi="仿宋" w:eastAsia="仿宋" w:cs="仿宋"/>
          <w:bCs/>
          <w:color w:val="000000"/>
          <w:sz w:val="32"/>
          <w:szCs w:val="32"/>
          <w:shd w:val="clear" w:color="auto" w:fill="FFFFFF"/>
        </w:rPr>
      </w:pPr>
      <w:r>
        <w:rPr>
          <w:rFonts w:hint="eastAsia" w:ascii="仿宋" w:hAnsi="仿宋" w:eastAsia="仿宋" w:cs="仿宋"/>
          <w:bCs/>
          <w:color w:val="000000"/>
          <w:sz w:val="32"/>
          <w:szCs w:val="32"/>
          <w:shd w:val="clear" w:color="auto" w:fill="FFFFFF"/>
        </w:rPr>
        <w:t>三是加强工作人员培训，提供业务素质；组织科室相关经办人学习专门的业务知识，提高信息化工作人员的业务水平，以老带新，充实人才，造就一支具有现代公共管理知识和理念并且可持续开展工作的政务公开人才队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rPr>
          <w:rFonts w:hint="eastAsia" w:ascii="黑体" w:hAnsi="黑体" w:eastAsia="黑体" w:cs="黑体"/>
          <w:b w:val="0"/>
          <w:bCs/>
          <w:i w:val="0"/>
          <w:caps w:val="0"/>
          <w:color w:val="000000"/>
          <w:spacing w:val="0"/>
          <w:sz w:val="24"/>
          <w:szCs w:val="24"/>
          <w:shd w:val="clear" w:color="auto" w:fill="FFFFFF"/>
        </w:rPr>
      </w:pPr>
      <w:r>
        <w:rPr>
          <w:rFonts w:hint="eastAsia" w:ascii="黑体" w:hAnsi="黑体" w:eastAsia="黑体" w:cs="黑体"/>
          <w:b w:val="0"/>
          <w:bCs/>
          <w:i w:val="0"/>
          <w:caps w:val="0"/>
          <w:color w:val="000000"/>
          <w:spacing w:val="0"/>
          <w:sz w:val="32"/>
          <w:szCs w:val="32"/>
          <w:shd w:val="clear" w:color="auto" w:fill="FFFFFF"/>
        </w:rPr>
        <w:t>六、其他需要报告的事项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645"/>
        <w:jc w:val="both"/>
        <w:textAlignment w:val="auto"/>
        <w:rPr>
          <w:rFonts w:hint="default" w:ascii="仿宋" w:hAnsi="仿宋" w:eastAsia="仿宋" w:cs="仿宋"/>
          <w:b w:val="0"/>
          <w:i w:val="0"/>
          <w:caps w:val="0"/>
          <w:color w:val="333333"/>
          <w:spacing w:val="0"/>
          <w:sz w:val="32"/>
          <w:szCs w:val="32"/>
          <w:shd w:val="clear" w:color="auto" w:fill="FFFFFF"/>
          <w:lang w:val="en-US" w:eastAsia="zh-CN"/>
        </w:rPr>
      </w:pPr>
      <w:r>
        <w:rPr>
          <w:rFonts w:hint="eastAsia" w:ascii="仿宋" w:hAnsi="仿宋" w:eastAsia="仿宋" w:cs="仿宋"/>
          <w:b w:val="0"/>
          <w:i w:val="0"/>
          <w:caps w:val="0"/>
          <w:color w:val="333333"/>
          <w:spacing w:val="0"/>
          <w:sz w:val="32"/>
          <w:szCs w:val="32"/>
          <w:shd w:val="clear" w:color="auto" w:fill="FFFFFF"/>
          <w:lang w:val="en-US" w:eastAsia="zh-CN"/>
        </w:rPr>
        <w:t>本年度未收取信息公开处理费。</w:t>
      </w:r>
    </w:p>
    <w:p>
      <w:pPr>
        <w:pStyle w:val="6"/>
        <w:widowControl/>
        <w:spacing w:after="0" w:afterAutospacing="0"/>
        <w:ind w:firstLine="418"/>
        <w:rPr>
          <w:rFonts w:ascii="仿宋_GB2312" w:hAnsi="仿宋_GB2312" w:eastAsia="仿宋_GB2312" w:cs="仿宋_GB2312"/>
          <w:color w:val="000000"/>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10" w:lineRule="atLeast"/>
        <w:ind w:left="0" w:right="0" w:firstLine="645"/>
        <w:jc w:val="right"/>
        <w:rPr>
          <w:rFonts w:hint="default" w:ascii="仿宋" w:hAnsi="仿宋" w:eastAsia="仿宋" w:cs="仿宋"/>
          <w:b w:val="0"/>
          <w:i w:val="0"/>
          <w:caps w:val="0"/>
          <w:color w:val="333333"/>
          <w:spacing w:val="0"/>
          <w:sz w:val="32"/>
          <w:szCs w:val="32"/>
          <w:shd w:val="clear" w:color="auto" w:fill="FFFFFF"/>
          <w:lang w:val="en-US" w:eastAsia="zh-CN"/>
        </w:rPr>
      </w:pPr>
      <w:r>
        <w:rPr>
          <w:rFonts w:hint="eastAsia" w:ascii="仿宋" w:hAnsi="仿宋" w:eastAsia="仿宋" w:cs="仿宋"/>
          <w:b w:val="0"/>
          <w:i w:val="0"/>
          <w:caps w:val="0"/>
          <w:color w:val="333333"/>
          <w:spacing w:val="0"/>
          <w:sz w:val="32"/>
          <w:szCs w:val="32"/>
          <w:shd w:val="clear" w:color="auto" w:fill="FFFFFF"/>
          <w:lang w:val="en-US" w:eastAsia="zh-CN"/>
        </w:rPr>
        <w:t xml:space="preserve">隰县午城镇人民政府    </w:t>
      </w:r>
    </w:p>
    <w:p>
      <w:pPr>
        <w:ind w:firstLine="5120" w:firstLineChars="1600"/>
      </w:pPr>
      <w:r>
        <w:rPr>
          <w:rFonts w:hint="eastAsia" w:ascii="仿宋" w:hAnsi="仿宋" w:eastAsia="仿宋" w:cs="仿宋"/>
          <w:b w:val="0"/>
          <w:i w:val="0"/>
          <w:caps w:val="0"/>
          <w:color w:val="333333"/>
          <w:spacing w:val="0"/>
          <w:sz w:val="32"/>
          <w:szCs w:val="32"/>
          <w:shd w:val="clear" w:color="auto" w:fill="FFFFFF"/>
          <w:lang w:val="en-US" w:eastAsia="zh-CN"/>
        </w:rPr>
        <w:t xml:space="preserve">2024年1月8日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lZmIxMGM2Yjc1MDc1N2Q1OTVlM2M3MDVkNWUzNDgifQ=="/>
  </w:docVars>
  <w:rsids>
    <w:rsidRoot w:val="63BA4282"/>
    <w:rsid w:val="00011ED5"/>
    <w:rsid w:val="00024C77"/>
    <w:rsid w:val="00071441"/>
    <w:rsid w:val="000F3A91"/>
    <w:rsid w:val="0010464B"/>
    <w:rsid w:val="00127057"/>
    <w:rsid w:val="00207164"/>
    <w:rsid w:val="00274B15"/>
    <w:rsid w:val="0027678B"/>
    <w:rsid w:val="00287E7F"/>
    <w:rsid w:val="00332EED"/>
    <w:rsid w:val="003C2934"/>
    <w:rsid w:val="005A2A1F"/>
    <w:rsid w:val="0062619D"/>
    <w:rsid w:val="0068112C"/>
    <w:rsid w:val="008D04B2"/>
    <w:rsid w:val="008F41B7"/>
    <w:rsid w:val="009343C1"/>
    <w:rsid w:val="00991A46"/>
    <w:rsid w:val="009D7FC7"/>
    <w:rsid w:val="00B87D1D"/>
    <w:rsid w:val="00C804C4"/>
    <w:rsid w:val="00CB6D35"/>
    <w:rsid w:val="00CD56DD"/>
    <w:rsid w:val="00D63208"/>
    <w:rsid w:val="00DD1FD0"/>
    <w:rsid w:val="00DD3385"/>
    <w:rsid w:val="00E878E6"/>
    <w:rsid w:val="00EA334C"/>
    <w:rsid w:val="00F062EA"/>
    <w:rsid w:val="00F821B6"/>
    <w:rsid w:val="00F854BA"/>
    <w:rsid w:val="00FD6F1B"/>
    <w:rsid w:val="00FE4B61"/>
    <w:rsid w:val="259A0FC8"/>
    <w:rsid w:val="35A463FD"/>
    <w:rsid w:val="3B8A5BD4"/>
    <w:rsid w:val="552667C4"/>
    <w:rsid w:val="63BA4282"/>
    <w:rsid w:val="6AF01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itle"/>
    <w:basedOn w:val="1"/>
    <w:next w:val="1"/>
    <w:autoRedefine/>
    <w:qFormat/>
    <w:uiPriority w:val="10"/>
    <w:pPr>
      <w:spacing w:before="240" w:after="60"/>
      <w:jc w:val="center"/>
      <w:outlineLvl w:val="0"/>
    </w:pPr>
    <w:rPr>
      <w:rFonts w:ascii="Arial" w:hAnsi="Arial" w:cs="Arial"/>
      <w:b/>
      <w:bCs/>
      <w:sz w:val="32"/>
      <w:szCs w:val="32"/>
    </w:rPr>
  </w:style>
  <w:style w:type="paragraph" w:styleId="3">
    <w:name w:val="Balloon Text"/>
    <w:basedOn w:val="1"/>
    <w:link w:val="9"/>
    <w:autoRedefine/>
    <w:qFormat/>
    <w:uiPriority w:val="0"/>
    <w:rPr>
      <w:sz w:val="18"/>
      <w:szCs w:val="18"/>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character" w:customStyle="1" w:styleId="9">
    <w:name w:val="批注框文本 字符"/>
    <w:basedOn w:val="8"/>
    <w:link w:val="3"/>
    <w:autoRedefine/>
    <w:qFormat/>
    <w:uiPriority w:val="0"/>
    <w:rPr>
      <w:rFonts w:ascii="Calibri" w:hAnsi="Calibri" w:eastAsia="宋体" w:cs="Times New Roman"/>
      <w:kern w:val="2"/>
      <w:sz w:val="18"/>
      <w:szCs w:val="18"/>
    </w:rPr>
  </w:style>
  <w:style w:type="character" w:customStyle="1" w:styleId="10">
    <w:name w:val="页眉 字符"/>
    <w:basedOn w:val="8"/>
    <w:link w:val="5"/>
    <w:autoRedefine/>
    <w:qFormat/>
    <w:uiPriority w:val="0"/>
    <w:rPr>
      <w:rFonts w:ascii="Calibri" w:hAnsi="Calibri" w:eastAsia="宋体" w:cs="Times New Roman"/>
      <w:kern w:val="2"/>
      <w:sz w:val="18"/>
      <w:szCs w:val="18"/>
    </w:rPr>
  </w:style>
  <w:style w:type="character" w:customStyle="1" w:styleId="11">
    <w:name w:val="页脚 字符"/>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306</Words>
  <Characters>1748</Characters>
  <Lines>14</Lines>
  <Paragraphs>4</Paragraphs>
  <TotalTime>0</TotalTime>
  <ScaleCrop>false</ScaleCrop>
  <LinksUpToDate>false</LinksUpToDate>
  <CharactersWithSpaces>2050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2023-01-10T03:52:00Z</dcterms:created>
  <dc:creator>guofukang</dc:creator>
  <cp:lastModifiedBy>微信用户</cp:lastModifiedBy>
  <dcterms:modified xsi:type="dcterms:W3CDTF">2024-01-30T13:00:45Z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FBB6874C7EE442708407515358C0CDC2</vt:lpwstr>
  </property>
</Properties>
</file>