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60" w:lineRule="atLeast"/>
        <w:jc w:val="center"/>
        <w:textAlignment w:val="auto"/>
        <w:rPr>
          <w:rFonts w:hint="eastAsia" w:ascii="楷体" w:hAnsi="楷体" w:eastAsia="楷体" w:cs="楷体"/>
          <w:sz w:val="52"/>
          <w:szCs w:val="5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阳头升乡人民政府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2022年政府信息公开工作年度报告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年，在县委、县政府的正确领导下，在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政府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办公室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业务指导下，我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根据《中华人民共和国政府信息公开条例》（以下简称《条例》）的有关规定，始终把政务公开和政府信息公开工作作为加强党风廉政建设，规范行业作风，促进依法行政，密切党群、干群关系的重要举措来抓，着力打造服务型基层政府，努力构建行业规范、运转协调、公正透明、廉洁高效的工作机制，推进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务建设健康发展。本报告包括政府信息公开总体情况、主动公开政府信息情况、收到和处理政府信息公开申请情况、政府信息公开行政复议、行政诉讼情况、存在的主要问题及改进情况、其他需要报告的事项六大部分。本年度报告中所列数据的统计期限自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年1月1日起至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2022年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12月31日止。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360" w:lineRule="auto"/>
        <w:ind w:firstLine="632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2022年以来，阳头升乡紧紧围绕县委县政府中心工作，强化大局意识、服务意识和责任意识，切实推进全乡政府信息公开工作，加强协调指导，狠抓督促检查，强化效能建设，提高工作水平。同时进一步明确政府信息公开职能，健全政府信息公开工作机制，完善各项工作制度，拓展公开内容、创新公开形式，提高为民服务质量。全乡政府信息公开工作积极、稳妥、有序推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2" w:after="469" w:afterLines="150" w:line="360" w:lineRule="auto"/>
        <w:ind w:firstLine="632" w:firstLineChars="200"/>
        <w:textAlignment w:val="auto"/>
        <w:outlineLvl w:val="1"/>
        <w:rPr>
          <w:rFonts w:hint="eastAsia" w:ascii="黑体" w:hAnsi="黑体" w:eastAsia="黑体" w:cs="黑体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</w:t>
      </w:r>
      <w:r>
        <w:rPr>
          <w:rFonts w:hint="eastAsia" w:ascii="黑体" w:hAnsi="黑体" w:eastAsia="黑体" w:cs="黑体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主动公开政府信息情况</w:t>
      </w:r>
    </w:p>
    <w:tbl>
      <w:tblPr>
        <w:tblStyle w:val="5"/>
        <w:tblW w:w="85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2335"/>
        <w:gridCol w:w="2335"/>
        <w:gridCol w:w="2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85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0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853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6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6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853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6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6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6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853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68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68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720" w:lineRule="auto"/>
        <w:ind w:firstLine="632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pacing w:val="-2"/>
          <w:sz w:val="44"/>
          <w:szCs w:val="4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三、收到和处理政府信息公开申请情况</w:t>
      </w:r>
    </w:p>
    <w:p>
      <w:pPr>
        <w:keepNext w:val="0"/>
        <w:keepLines w:val="0"/>
        <w:pageBreakBefore w:val="0"/>
        <w:overflowPunct/>
        <w:topLinePunct w:val="0"/>
        <w:bidi w:val="0"/>
        <w:spacing w:line="360" w:lineRule="auto"/>
      </w:pPr>
    </w:p>
    <w:tbl>
      <w:tblPr>
        <w:tblStyle w:val="8"/>
        <w:tblW w:w="867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8"/>
        <w:gridCol w:w="829"/>
        <w:gridCol w:w="2857"/>
        <w:gridCol w:w="610"/>
        <w:gridCol w:w="611"/>
        <w:gridCol w:w="611"/>
        <w:gridCol w:w="611"/>
        <w:gridCol w:w="620"/>
        <w:gridCol w:w="609"/>
        <w:gridCol w:w="63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61" w:hRule="atLeast"/>
          <w:jc w:val="center"/>
        </w:trPr>
        <w:tc>
          <w:tcPr>
            <w:tcW w:w="4376" w:type="dxa"/>
            <w:gridSpan w:val="4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43" w:line="360" w:lineRule="auto"/>
              <w:ind w:firstLine="139"/>
              <w:rPr>
                <w:rFonts w:ascii="宋体" w:hAnsi="宋体" w:eastAsia="宋体" w:cs="宋体"/>
                <w:position w:val="15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(本列数据的勾稽关系为:第一项加第二项之和,等于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13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第三项加第四项之和)</w:t>
            </w:r>
          </w:p>
        </w:tc>
        <w:tc>
          <w:tcPr>
            <w:tcW w:w="4303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firstLine="18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4376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left="231" w:right="116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自然 人</w:t>
            </w:r>
          </w:p>
        </w:tc>
        <w:tc>
          <w:tcPr>
            <w:tcW w:w="3062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9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jc w:val="center"/>
        </w:trPr>
        <w:tc>
          <w:tcPr>
            <w:tcW w:w="4376" w:type="dxa"/>
            <w:gridSpan w:val="4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05" w:line="360" w:lineRule="auto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4" w:line="360" w:lineRule="auto"/>
              <w:ind w:left="134" w:righ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6" w:line="360" w:lineRule="auto"/>
              <w:ind w:right="112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社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/>
              </w:rPr>
              <w:t>会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公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/>
              </w:rPr>
              <w:t>益组织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6" w:line="360" w:lineRule="auto"/>
              <w:ind w:right="11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firstLine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63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37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437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二、</w:t>
            </w:r>
            <w:r>
              <w:rPr>
                <w:rFonts w:ascii="宋体" w:hAnsi="宋体" w:eastAsia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60" w:hRule="atLeast"/>
          <w:jc w:val="center"/>
        </w:trPr>
        <w:tc>
          <w:tcPr>
            <w:tcW w:w="6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left="60" w:right="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理结果</w:t>
            </w:r>
          </w:p>
        </w:tc>
        <w:tc>
          <w:tcPr>
            <w:tcW w:w="369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(一)予以公开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9" w:hRule="atLeast"/>
          <w:jc w:val="center"/>
        </w:trPr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369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1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(二)部分公开</w:t>
            </w:r>
            <w:r>
              <w:rPr>
                <w:rFonts w:hint="eastAsia" w:ascii="楷体" w:hAnsi="楷体" w:eastAsia="楷体" w:cs="楷体"/>
                <w:spacing w:val="-10"/>
                <w:sz w:val="20"/>
                <w:szCs w:val="20"/>
              </w:rPr>
              <w:t>(区分处理的,只计这一情形,不计其他情形)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70" w:hRule="atLeast"/>
          <w:jc w:val="center"/>
        </w:trPr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198" w:line="360" w:lineRule="auto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0"/>
                <w:sz w:val="20"/>
                <w:szCs w:val="20"/>
              </w:rPr>
              <w:t>(三)不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8" w:line="360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60" w:hRule="atLeast"/>
          <w:jc w:val="center"/>
        </w:trPr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3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9" w:line="360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5" w:hRule="atLeast"/>
          <w:jc w:val="center"/>
        </w:trPr>
        <w:tc>
          <w:tcPr>
            <w:tcW w:w="6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37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0" w:line="360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3.危及"三安全一稳定"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89" w:hRule="atLeast"/>
          <w:jc w:val="center"/>
        </w:trPr>
        <w:tc>
          <w:tcPr>
            <w:tcW w:w="690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7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4.保护第三方合法权益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79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5.属于三类内部事务信息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69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6.属于四类过程性信息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79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7.属于行政执法案卷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79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8.属于行政查询事项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78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45" w:line="360" w:lineRule="auto"/>
              <w:ind w:firstLine="52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无法提供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4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1.本机关不掌握相关政府信息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79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79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3.补正后申请内容仍不明确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78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45" w:line="360" w:lineRule="auto"/>
              <w:ind w:firstLine="5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(五 )不予处理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4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1.信访举报投诉类申请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69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2.重复申请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78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4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3.要求提供公开出版物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80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6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4.无正当理由大量反复申请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41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155" w:line="360" w:lineRule="auto"/>
              <w:ind w:left="44" w:righ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16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2" w:line="360" w:lineRule="auto"/>
              <w:ind w:firstLine="5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其他处理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76" w:line="360" w:lineRule="auto"/>
              <w:ind w:left="44" w:righ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1.申请人无正当理由逾期不补正、行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政机关不再处理其政府信息公开申</w:t>
            </w:r>
            <w:r>
              <w:rPr>
                <w:rFonts w:ascii="宋体" w:hAnsi="宋体" w:eastAsia="宋体" w:cs="宋体"/>
                <w:sz w:val="19"/>
                <w:szCs w:val="19"/>
              </w:rPr>
              <w:t>请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18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7" w:line="360" w:lineRule="auto"/>
              <w:ind w:left="44" w:righ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2.申请人逾期未按收费通知要求缴 纳费用、行政机关不再处理其政府信 息公开申请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83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9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3.其他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83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36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9" w:line="360" w:lineRule="auto"/>
              <w:ind w:firstLine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8" w:hRule="atLeast"/>
          <w:jc w:val="center"/>
        </w:trPr>
        <w:tc>
          <w:tcPr>
            <w:tcW w:w="437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9" w:line="360" w:lineRule="auto"/>
              <w:ind w:firstLine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overflowPunct/>
        <w:topLinePunct w:val="0"/>
        <w:bidi w:val="0"/>
        <w:spacing w:line="36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="78" w:line="360" w:lineRule="auto"/>
        <w:ind w:firstLine="632" w:firstLineChars="200"/>
        <w:outlineLvl w:val="1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四、政府信息公开行政复议、行政诉讼情况</w:t>
      </w:r>
    </w:p>
    <w:p>
      <w:pPr>
        <w:keepNext w:val="0"/>
        <w:keepLines w:val="0"/>
        <w:pageBreakBefore w:val="0"/>
        <w:overflowPunct/>
        <w:topLinePunct w:val="0"/>
        <w:bidi w:val="0"/>
        <w:spacing w:line="360" w:lineRule="auto"/>
      </w:pPr>
    </w:p>
    <w:tbl>
      <w:tblPr>
        <w:tblStyle w:val="8"/>
        <w:tblW w:w="878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597"/>
        <w:gridCol w:w="596"/>
        <w:gridCol w:w="597"/>
        <w:gridCol w:w="611"/>
        <w:gridCol w:w="597"/>
        <w:gridCol w:w="596"/>
        <w:gridCol w:w="597"/>
        <w:gridCol w:w="605"/>
        <w:gridCol w:w="601"/>
        <w:gridCol w:w="597"/>
        <w:gridCol w:w="614"/>
        <w:gridCol w:w="597"/>
        <w:gridCol w:w="597"/>
        <w:gridCol w:w="3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30" w:hRule="atLeast"/>
          <w:jc w:val="center"/>
        </w:trPr>
        <w:tc>
          <w:tcPr>
            <w:tcW w:w="300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行政复议</w:t>
            </w:r>
          </w:p>
        </w:tc>
        <w:tc>
          <w:tcPr>
            <w:tcW w:w="5776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结果维持</w:t>
            </w:r>
          </w:p>
        </w:tc>
        <w:tc>
          <w:tcPr>
            <w:tcW w:w="59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default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结果纠正</w:t>
            </w:r>
          </w:p>
        </w:tc>
        <w:tc>
          <w:tcPr>
            <w:tcW w:w="59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其他 结果</w:t>
            </w:r>
          </w:p>
        </w:tc>
        <w:tc>
          <w:tcPr>
            <w:tcW w:w="59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尚未审结</w:t>
            </w:r>
          </w:p>
        </w:tc>
        <w:tc>
          <w:tcPr>
            <w:tcW w:w="6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总计</w:t>
            </w:r>
          </w:p>
        </w:tc>
        <w:tc>
          <w:tcPr>
            <w:tcW w:w="299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未经复议直接起诉</w:t>
            </w:r>
          </w:p>
        </w:tc>
        <w:tc>
          <w:tcPr>
            <w:tcW w:w="278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60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59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59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59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6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结果维持</w:t>
            </w:r>
          </w:p>
        </w:tc>
        <w:tc>
          <w:tcPr>
            <w:tcW w:w="5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 纠正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其他 结果</w:t>
            </w:r>
          </w:p>
        </w:tc>
        <w:tc>
          <w:tcPr>
            <w:tcW w:w="6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尚未 审结</w:t>
            </w:r>
          </w:p>
        </w:tc>
        <w:tc>
          <w:tcPr>
            <w:tcW w:w="6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总计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结果维持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 纠正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其他 结果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尚未 审结</w:t>
            </w:r>
          </w:p>
        </w:tc>
        <w:tc>
          <w:tcPr>
            <w:tcW w:w="3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3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="78" w:line="360" w:lineRule="auto"/>
        <w:ind w:firstLine="632" w:firstLineChars="200"/>
        <w:outlineLvl w:val="1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我乡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政务公开工作还存在着一些问题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：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eastAsia="zh-CN"/>
        </w:rPr>
        <w:t>一是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val="en-US" w:eastAsia="zh-CN"/>
        </w:rPr>
        <w:t>公开力度不大。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val="en-US" w:eastAsia="zh-CN"/>
        </w:rPr>
        <w:t>公开的信息主要集中在常规性工作，对与本级政府工作密切相关的法律法规和重要会议精神传递不够。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val="en-US" w:eastAsia="zh-CN"/>
        </w:rPr>
        <w:t>二是公开渠道单一。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  <w:t>主要依赖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  <w:t>户外政务信息公开栏和政府官方网站两种渠道，没有充分发挥新兴媒体的作用，导致公众获取信息的渠道比较单一。</w:t>
      </w:r>
      <w:r>
        <w:rPr>
          <w:rFonts w:hint="eastAsia" w:ascii="仿宋_GB2312" w:hAnsi="仿宋_GB2312" w:eastAsia="仿宋_GB2312" w:cs="仿宋_GB2312"/>
          <w:b w:val="0"/>
          <w:color w:val="3D3D3D"/>
          <w:sz w:val="32"/>
          <w:szCs w:val="32"/>
          <w:u w:val="none"/>
        </w:rPr>
        <w:br w:type="textWrapping"/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val="en-US" w:eastAsia="zh-CN"/>
        </w:rPr>
        <w:t>三是信息互动不够。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  <w:t>仍然停留在“信息发布”的阶段，缺乏与群众进行互动的平台，群众反馈的渠道较少，无法准确了解群众的意见和建议。</w:t>
      </w:r>
    </w:p>
    <w:p>
      <w:pPr>
        <w:pStyle w:val="4"/>
        <w:keepNext w:val="0"/>
        <w:keepLines w:val="0"/>
        <w:widowControl/>
        <w:suppressLineNumbers w:val="0"/>
        <w:spacing w:line="450" w:lineRule="atLeast"/>
        <w:ind w:firstLine="640" w:firstLineChars="200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  <w:t>20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val="en-US" w:eastAsia="zh-CN"/>
        </w:rPr>
        <w:t>23</w:t>
      </w:r>
      <w:r>
        <w:rPr>
          <w:rFonts w:hint="default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  <w:t>年，我们将按照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  <w:t>县委、县政府</w:t>
      </w:r>
      <w:r>
        <w:rPr>
          <w:rFonts w:hint="default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  <w:t>的要求，继续大力推进政府信息公开工作，主要是做好以下几方面工作：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val="en-US" w:eastAsia="zh-CN"/>
        </w:rPr>
        <w:t>一是丰富公开内容。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  <w:t>以社会关注度高、公开利益大的政府信息作为突破口，把政府信息公开的侧重点放在法律法规、政府重大采购、工程招投标合同以及依申请公开的政府信息方面，避免单一化。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val="en-US" w:eastAsia="zh-CN"/>
        </w:rPr>
        <w:t>二是拓展公开形式。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  <w:t>继续发挥政府官方网站、户外政务信息公开栏、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val="en-US" w:eastAsia="zh-CN"/>
        </w:rPr>
        <w:t>LED屏幕等传统信息公开渠道作用，与新兴媒体和其他机构开展充分合作，利用微信公众号和自媒体平台，拓展信息公开渠道。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val="en-US" w:eastAsia="zh-CN"/>
        </w:rPr>
        <w:t>三是加强反馈互动。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  <w:t>通过社交媒体平台，及时了解群众反馈，对群众反馈进行及时回复，认真征求社会各界对政府工作的意见建议，自查自省，不断提高政府信息公开水平。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600" w:lineRule="exact"/>
        <w:ind w:firstLine="636" w:firstLineChars="200"/>
        <w:textAlignment w:val="baseline"/>
        <w:outlineLvl w:val="1"/>
        <w:rPr>
          <w:rFonts w:hint="eastAsia" w:ascii="仿宋_GB2312" w:hAnsi="仿宋_GB2312" w:eastAsia="仿宋_GB2312" w:cs="仿宋_GB2312"/>
          <w:spacing w:val="-1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16" w:firstLineChars="200"/>
        <w:textAlignment w:val="baseline"/>
        <w:outlineLvl w:val="1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无其他需要报告的事项。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6" w:firstLineChars="200"/>
        <w:textAlignment w:val="baseline"/>
        <w:outlineLvl w:val="1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6" w:firstLineChars="200"/>
        <w:jc w:val="right"/>
        <w:textAlignment w:val="baseline"/>
        <w:outlineLvl w:val="1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right"/>
        <w:textAlignment w:val="baseline"/>
        <w:outlineLvl w:val="1"/>
        <w:rPr>
          <w:rFonts w:hint="eastAsia" w:ascii="仿宋" w:hAnsi="仿宋" w:eastAsia="仿宋" w:cs="仿宋"/>
          <w:b w:val="0"/>
          <w:color w:val="3D3D3D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3D3D3D"/>
          <w:kern w:val="0"/>
          <w:sz w:val="32"/>
          <w:szCs w:val="32"/>
          <w:u w:val="none"/>
          <w:lang w:val="en-US" w:eastAsia="zh-CN" w:bidi="ar"/>
        </w:rPr>
        <w:t>阳头升乡人民政府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right"/>
        <w:textAlignment w:val="baseline"/>
        <w:outlineLvl w:val="1"/>
        <w:rPr>
          <w:rFonts w:hint="eastAsia" w:ascii="仿宋" w:hAnsi="仿宋" w:eastAsia="仿宋" w:cs="仿宋"/>
          <w:b w:val="0"/>
          <w:color w:val="3D3D3D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3D3D3D"/>
          <w:kern w:val="0"/>
          <w:sz w:val="32"/>
          <w:szCs w:val="32"/>
          <w:u w:val="none"/>
          <w:lang w:val="en-US" w:eastAsia="zh-CN" w:bidi="ar"/>
        </w:rPr>
        <w:t xml:space="preserve">2023年1月7日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16" w:firstLineChars="200"/>
        <w:textAlignment w:val="baseline"/>
        <w:outlineLvl w:val="1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60" w:firstLineChars="1600"/>
        <w:jc w:val="right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17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8" w:lineRule="exact"/>
      <w:rPr>
        <w:rFonts w:ascii="宋体" w:hAnsi="宋体" w:eastAsia="宋体" w:cs="宋体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EzODUwZWU4NzM1MWE1NzBjNTcxMjllODI1YjIifQ=="/>
  </w:docVars>
  <w:rsids>
    <w:rsidRoot w:val="0A3456C7"/>
    <w:rsid w:val="01AF4258"/>
    <w:rsid w:val="01DB7ED5"/>
    <w:rsid w:val="04716F6C"/>
    <w:rsid w:val="0A195A3E"/>
    <w:rsid w:val="0A3456C7"/>
    <w:rsid w:val="0B582CDC"/>
    <w:rsid w:val="0CA04D10"/>
    <w:rsid w:val="159F5EF9"/>
    <w:rsid w:val="1A6F74F1"/>
    <w:rsid w:val="24631905"/>
    <w:rsid w:val="29DC0C85"/>
    <w:rsid w:val="2BE20A8D"/>
    <w:rsid w:val="300B1495"/>
    <w:rsid w:val="3070552C"/>
    <w:rsid w:val="316E232C"/>
    <w:rsid w:val="409670E0"/>
    <w:rsid w:val="43624BDD"/>
    <w:rsid w:val="48C823C5"/>
    <w:rsid w:val="4C821018"/>
    <w:rsid w:val="533A1041"/>
    <w:rsid w:val="626369CC"/>
    <w:rsid w:val="6C4B1216"/>
    <w:rsid w:val="6D9B2006"/>
    <w:rsid w:val="6F2739C0"/>
    <w:rsid w:val="70916BF7"/>
    <w:rsid w:val="729E7686"/>
    <w:rsid w:val="73C20ACC"/>
    <w:rsid w:val="7453144C"/>
    <w:rsid w:val="787036C0"/>
    <w:rsid w:val="78970D25"/>
    <w:rsid w:val="7A554441"/>
    <w:rsid w:val="7E7102B2"/>
    <w:rsid w:val="7E8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beforeAutospacing="0" w:after="12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_Style 3"/>
    <w:basedOn w:val="3"/>
    <w:next w:val="1"/>
    <w:qFormat/>
    <w:uiPriority w:val="39"/>
    <w:pPr>
      <w:tabs>
        <w:tab w:val="left" w:pos="1755"/>
      </w:tabs>
      <w:spacing w:before="480" w:after="0"/>
      <w:outlineLvl w:val="9"/>
    </w:pPr>
    <w:rPr>
      <w:rFonts w:ascii="仿宋" w:hAnsi="仿宋"/>
      <w:color w:val="000000"/>
      <w:kern w:val="0"/>
      <w:szCs w:val="32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1939</Words>
  <Characters>1986</Characters>
  <Lines>0</Lines>
  <Paragraphs>0</Paragraphs>
  <TotalTime>24</TotalTime>
  <ScaleCrop>false</ScaleCrop>
  <LinksUpToDate>false</LinksUpToDate>
  <CharactersWithSpaces>2003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2019-10-25T10:24:00Z</dcterms:created>
  <dc:creator>Administrator</dc:creator>
  <cp:lastModifiedBy>Administrator</cp:lastModifiedBy>
  <cp:lastPrinted>2023-01-09T03:56:00Z</cp:lastPrinted>
  <dcterms:modified xsi:type="dcterms:W3CDTF">2023-01-16T04:00:28Z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BB924BE32ADE49E8B7577895A82447A6</vt:lpwstr>
  </property>
</Properties>
</file>