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767" w:firstLineChars="4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隰县人力资源和社会保障局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关于征集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2023年就业见习岗位的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  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宋体" w:hAnsi="宋体" w:eastAsia="宋体" w:cs="宋体"/>
          <w:b/>
          <w:bCs/>
          <w:color w:val="000000" w:themeColor="text1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乡（镇）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县直各机关、企事业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单位：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为贯彻落实省人社厅《关于做好就业见习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的通知》(晋人社厅发【202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号)的文件要求,进一步推进我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就业见习工作,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面向全县各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乡（镇）、县直各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企事业单位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（民营企业）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2023年就业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见习岗位，现就有关事项通知如下：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一、指导思想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以习近平新时代中国特色社会主义思想为指导,深入贯彻党的二十大精神,认真落实党中央国务院、省委省政府及市委市政府关于稳就业保就业的决策部署,加大就业见习组织力度,落实完善就业见习政策,帮助高校毕业生等青年增强岗位实践经验,提升就业竞争力,尽快实现就业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就业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见习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对象及补贴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" w:line="700" w:lineRule="exact"/>
        <w:ind w:firstLine="654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就业见习对象为离校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年内未就业的高校毕业生（含技工院校高级技工班、预备技师班和特殊教育院校职业教育类毕业生）和中职毕业生；16-24周岁城乡失业青年（含未就业的被征地青年农民、城镇登记失业青年等）以及留学回国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" w:line="700" w:lineRule="exact"/>
        <w:ind w:firstLine="654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见习单位应为见习人员按月发放不低于当地最低工资标准（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1780元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）的见习生活补助，见习单位由此获得当地最低工资标准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60%的就业见习补贴。同时见习单位需在见习人员上岗前为其购买意外伤害保险，保额需与我省工伤保险工亡赔付标准大致相同，每份保险可获得240元的保费补贴。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岗位要求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见习岗位的设置必须从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单位工作实际出发，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合理安排见习岗位。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申报时间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截止申报时间2023年8月15日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五、岗位信息发布与报到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见习岗位信息将于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通过隰县就业公众平台和隰县人民政府网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，随后符合条件的人员进行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公开报名。报名结束后，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隰县公共就业人才服务中心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依据各单位申报条件对报名人员进行审核，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对符合条件的人员推荐上岗。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六、就业见习管理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见习生报到后，各单位要及时与见习生签订《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就业见习协议书》。见习期内，见习单位必须加强对见习人员的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日常管理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管理情况定期向隰县公共就业人才服务中心报备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对因病因事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请假超过一个月的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或不能正确履行岗位职责的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，取消其见习资格。</w:t>
      </w:r>
    </w:p>
    <w:p>
      <w:pPr>
        <w:keepNext w:val="0"/>
        <w:keepLines w:val="0"/>
        <w:pageBreakBefore w:val="0"/>
        <w:widowControl w:val="0"/>
        <w:tabs>
          <w:tab w:val="left" w:pos="1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附：《隰县就业见习基地申请报告》</w:t>
      </w:r>
    </w:p>
    <w:p>
      <w:pPr>
        <w:keepNext w:val="0"/>
        <w:keepLines w:val="0"/>
        <w:pageBreakBefore w:val="0"/>
        <w:widowControl w:val="0"/>
        <w:tabs>
          <w:tab w:val="left" w:pos="1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《隰县就业见习基地认定表》</w:t>
      </w:r>
    </w:p>
    <w:p>
      <w:pPr>
        <w:keepNext w:val="0"/>
        <w:keepLines w:val="0"/>
        <w:pageBreakBefore w:val="0"/>
        <w:widowControl w:val="0"/>
        <w:tabs>
          <w:tab w:val="left" w:pos="1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1280" w:firstLineChars="4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《隰县就业见习岗位2023年度计划表》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5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5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5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4160" w:firstLineChars="1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隰县人力资源和社会保障局</w:t>
      </w:r>
    </w:p>
    <w:p>
      <w:pPr>
        <w:keepNext w:val="0"/>
        <w:keepLines w:val="0"/>
        <w:pageBreakBefore w:val="0"/>
        <w:widowControl w:val="0"/>
        <w:tabs>
          <w:tab w:val="left" w:pos="61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2023年7月10日</w:t>
      </w:r>
    </w:p>
    <w:p>
      <w:pPr>
        <w:keepNext w:val="0"/>
        <w:keepLines w:val="0"/>
        <w:pageBreakBefore w:val="0"/>
        <w:widowControl w:val="0"/>
        <w:tabs>
          <w:tab w:val="left" w:pos="61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1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7" w:line="222" w:lineRule="auto"/>
        <w:rPr>
          <w:rFonts w:ascii="仿宋" w:hAnsi="仿宋" w:eastAsia="仿宋" w:cs="仿宋"/>
          <w:spacing w:val="13"/>
          <w:sz w:val="33"/>
          <w:szCs w:val="33"/>
        </w:rPr>
      </w:pPr>
    </w:p>
    <w:p>
      <w:pPr>
        <w:spacing w:before="107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3"/>
          <w:sz w:val="33"/>
          <w:szCs w:val="33"/>
        </w:rPr>
        <w:t>附件1: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43" w:line="219" w:lineRule="auto"/>
        <w:ind w:firstLine="1703" w:firstLineChars="400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  <w:t>隰县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就业见习基地申请</w:t>
      </w: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  <w:t>报告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7" w:line="221" w:lineRule="auto"/>
        <w:ind w:firstLine="4512" w:firstLineChars="1600"/>
        <w:rPr>
          <w:rFonts w:ascii="仿宋" w:hAnsi="仿宋" w:eastAsia="仿宋" w:cs="仿宋"/>
          <w:spacing w:val="-24"/>
          <w:sz w:val="33"/>
          <w:szCs w:val="33"/>
        </w:rPr>
      </w:pPr>
    </w:p>
    <w:p>
      <w:pPr>
        <w:spacing w:before="107" w:line="221" w:lineRule="auto"/>
        <w:ind w:firstLine="4512" w:firstLineChars="1600"/>
        <w:rPr>
          <w:rFonts w:ascii="仿宋" w:hAnsi="仿宋" w:eastAsia="仿宋" w:cs="仿宋"/>
          <w:spacing w:val="-24"/>
          <w:sz w:val="33"/>
          <w:szCs w:val="33"/>
        </w:rPr>
      </w:pPr>
    </w:p>
    <w:p>
      <w:pPr>
        <w:spacing w:before="107" w:line="221" w:lineRule="auto"/>
        <w:ind w:firstLine="4512" w:firstLineChars="1600"/>
        <w:rPr>
          <w:rFonts w:ascii="仿宋" w:hAnsi="仿宋" w:eastAsia="仿宋" w:cs="仿宋"/>
          <w:spacing w:val="-24"/>
          <w:sz w:val="33"/>
          <w:szCs w:val="33"/>
        </w:rPr>
      </w:pPr>
    </w:p>
    <w:p>
      <w:pPr>
        <w:spacing w:before="107" w:line="221" w:lineRule="auto"/>
        <w:ind w:firstLine="4512" w:firstLineChars="1600"/>
        <w:rPr>
          <w:rFonts w:ascii="仿宋" w:hAnsi="仿宋" w:eastAsia="仿宋" w:cs="仿宋"/>
          <w:spacing w:val="-24"/>
          <w:sz w:val="33"/>
          <w:szCs w:val="33"/>
        </w:rPr>
      </w:pPr>
    </w:p>
    <w:p>
      <w:pPr>
        <w:spacing w:before="107" w:line="221" w:lineRule="auto"/>
        <w:ind w:firstLine="4512" w:firstLineChars="1600"/>
        <w:rPr>
          <w:rFonts w:ascii="仿宋" w:hAnsi="仿宋" w:eastAsia="仿宋" w:cs="仿宋"/>
          <w:spacing w:val="-24"/>
          <w:sz w:val="33"/>
          <w:szCs w:val="33"/>
        </w:rPr>
      </w:pPr>
    </w:p>
    <w:p>
      <w:pPr>
        <w:spacing w:before="107" w:line="221" w:lineRule="auto"/>
        <w:ind w:firstLine="4512" w:firstLineChars="1600"/>
        <w:rPr>
          <w:rFonts w:ascii="Arial"/>
          <w:sz w:val="21"/>
        </w:rPr>
      </w:pPr>
      <w:bookmarkStart w:id="8" w:name="_GoBack"/>
      <w:bookmarkEnd w:id="8"/>
      <w:r>
        <w:rPr>
          <w:rFonts w:ascii="仿宋" w:hAnsi="仿宋" w:eastAsia="仿宋" w:cs="仿宋"/>
          <w:spacing w:val="-24"/>
          <w:sz w:val="33"/>
          <w:szCs w:val="33"/>
        </w:rPr>
        <w:t>申报单位名称：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94" w:line="222" w:lineRule="auto"/>
        <w:ind w:left="4860"/>
        <w:sectPr>
          <w:pgSz w:w="11920" w:h="16840"/>
          <w:pgMar w:top="1431" w:right="1788" w:bottom="1417" w:left="1659" w:header="0" w:footer="0" w:gutter="0"/>
          <w:cols w:space="720" w:num="1"/>
        </w:sectPr>
      </w:pPr>
      <w:r>
        <w:rPr>
          <w:rFonts w:ascii="仿宋" w:hAnsi="仿宋" w:eastAsia="仿宋" w:cs="仿宋"/>
          <w:spacing w:val="-20"/>
          <w:sz w:val="29"/>
          <w:szCs w:val="29"/>
        </w:rPr>
        <w:t>年</w:t>
      </w:r>
      <w:r>
        <w:rPr>
          <w:rFonts w:ascii="仿宋" w:hAnsi="仿宋" w:eastAsia="仿宋" w:cs="仿宋"/>
          <w:spacing w:val="27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20"/>
          <w:sz w:val="29"/>
          <w:szCs w:val="29"/>
        </w:rPr>
        <w:t>月</w:t>
      </w:r>
      <w:r>
        <w:rPr>
          <w:rFonts w:ascii="仿宋" w:hAnsi="仿宋" w:eastAsia="仿宋" w:cs="仿宋"/>
          <w:spacing w:val="56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0"/>
          <w:sz w:val="29"/>
          <w:szCs w:val="29"/>
        </w:rPr>
        <w:t>日</w:t>
      </w:r>
    </w:p>
    <w:p>
      <w:pPr>
        <w:spacing w:before="107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3"/>
          <w:sz w:val="33"/>
          <w:szCs w:val="33"/>
        </w:rPr>
        <w:t>附件</w:t>
      </w:r>
      <w:r>
        <w:rPr>
          <w:rFonts w:hint="eastAsia" w:ascii="仿宋" w:hAnsi="仿宋" w:eastAsia="仿宋" w:cs="仿宋"/>
          <w:spacing w:val="13"/>
          <w:sz w:val="33"/>
          <w:szCs w:val="33"/>
          <w:lang w:val="en-US" w:eastAsia="zh-CN"/>
        </w:rPr>
        <w:t>2</w:t>
      </w:r>
      <w:r>
        <w:rPr>
          <w:rFonts w:ascii="仿宋" w:hAnsi="仿宋" w:eastAsia="仿宋" w:cs="仿宋"/>
          <w:spacing w:val="13"/>
          <w:sz w:val="33"/>
          <w:szCs w:val="33"/>
        </w:rPr>
        <w:t>: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43" w:line="219" w:lineRule="auto"/>
        <w:ind w:left="1831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eastAsia="zh-CN"/>
        </w:rPr>
        <w:t>隰县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就业见习基地申请表</w:t>
      </w:r>
    </w:p>
    <w:p/>
    <w:p/>
    <w:p/>
    <w:p>
      <w:pPr>
        <w:spacing w:line="96" w:lineRule="exact"/>
      </w:pPr>
    </w:p>
    <w:tbl>
      <w:tblPr>
        <w:tblStyle w:val="19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2157"/>
        <w:gridCol w:w="220"/>
        <w:gridCol w:w="1608"/>
        <w:gridCol w:w="2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03" w:type="dxa"/>
            <w:vAlign w:val="top"/>
          </w:tcPr>
          <w:p>
            <w:pPr>
              <w:spacing w:before="176" w:line="219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申报单位名称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3" w:type="dxa"/>
            <w:vAlign w:val="top"/>
          </w:tcPr>
          <w:p>
            <w:pPr>
              <w:spacing w:before="183" w:line="220" w:lineRule="auto"/>
              <w:ind w:left="3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单位性质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spacing w:before="183" w:line="220" w:lineRule="auto"/>
              <w:ind w:left="2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所属行业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03" w:type="dxa"/>
            <w:vAlign w:val="top"/>
          </w:tcPr>
          <w:p>
            <w:pPr>
              <w:spacing w:before="182" w:line="219" w:lineRule="auto"/>
              <w:ind w:left="3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单位人数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spacing w:before="190" w:line="224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网</w:t>
            </w:r>
            <w:r>
              <w:rPr>
                <w:rFonts w:ascii="宋体" w:hAnsi="宋体" w:eastAsia="宋体" w:cs="宋体"/>
                <w:spacing w:val="2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址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490" w:type="dxa"/>
            <w:gridSpan w:val="5"/>
            <w:vAlign w:val="top"/>
          </w:tcPr>
          <w:p>
            <w:pPr>
              <w:spacing w:before="173" w:line="219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申报单位联系方式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03" w:type="dxa"/>
            <w:vAlign w:val="top"/>
          </w:tcPr>
          <w:p>
            <w:pPr>
              <w:spacing w:before="228" w:line="221" w:lineRule="auto"/>
              <w:ind w:left="5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spacing w:before="224" w:line="219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部门及职务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3" w:type="dxa"/>
            <w:vAlign w:val="top"/>
          </w:tcPr>
          <w:p>
            <w:pPr>
              <w:spacing w:before="186" w:line="220" w:lineRule="auto"/>
              <w:ind w:left="3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固定电话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spacing w:before="183" w:line="219" w:lineRule="auto"/>
              <w:ind w:left="6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传真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3" w:type="dxa"/>
            <w:vAlign w:val="top"/>
          </w:tcPr>
          <w:p>
            <w:pPr>
              <w:spacing w:before="184" w:line="219" w:lineRule="auto"/>
              <w:ind w:left="4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手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机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spacing w:before="187" w:line="220" w:lineRule="auto"/>
              <w:ind w:left="3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03" w:type="dxa"/>
            <w:vAlign w:val="top"/>
          </w:tcPr>
          <w:p>
            <w:pPr>
              <w:spacing w:before="176" w:line="219" w:lineRule="auto"/>
              <w:ind w:left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地址及邮编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190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91" w:line="620" w:lineRule="exact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position w:val="26"/>
                <w:sz w:val="28"/>
                <w:szCs w:val="28"/>
              </w:rPr>
              <w:t>公共就业人才</w:t>
            </w:r>
          </w:p>
          <w:p>
            <w:pPr>
              <w:spacing w:line="218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服务中心推荐</w:t>
            </w:r>
          </w:p>
          <w:p>
            <w:pPr>
              <w:spacing w:before="299" w:line="219" w:lineRule="auto"/>
              <w:ind w:left="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8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(单位公章)</w:t>
            </w:r>
          </w:p>
          <w:p>
            <w:pPr>
              <w:spacing w:before="309" w:line="219" w:lineRule="auto"/>
              <w:ind w:left="40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90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610" w:lineRule="exact"/>
              <w:ind w:left="3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position w:val="25"/>
                <w:sz w:val="28"/>
                <w:szCs w:val="28"/>
              </w:rPr>
              <w:t>人社部门</w:t>
            </w:r>
          </w:p>
          <w:p>
            <w:pPr>
              <w:spacing w:line="219" w:lineRule="auto"/>
              <w:ind w:left="3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审核意见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1" w:line="651" w:lineRule="exact"/>
              <w:ind w:left="43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position w:val="28"/>
                <w:sz w:val="28"/>
                <w:szCs w:val="28"/>
              </w:rPr>
              <w:t>(单位公章)</w:t>
            </w:r>
          </w:p>
          <w:p>
            <w:pPr>
              <w:spacing w:line="219" w:lineRule="auto"/>
              <w:ind w:left="41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sectPr>
          <w:pgSz w:w="11920" w:h="16840"/>
          <w:pgMar w:top="1431" w:right="1788" w:bottom="0" w:left="1554" w:header="0" w:footer="0" w:gutter="0"/>
          <w:cols w:space="720" w:num="1"/>
        </w:sectPr>
      </w:pP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leftChars="0" w:right="0" w:firstLine="0" w:firstLineChars="0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:</w:t>
      </w:r>
    </w:p>
    <w:p>
      <w:pPr>
        <w:pStyle w:val="21"/>
        <w:keepNext/>
        <w:keepLines/>
        <w:widowControl w:val="0"/>
        <w:shd w:val="clear" w:color="auto" w:fill="auto"/>
        <w:tabs>
          <w:tab w:val="left" w:pos="5040"/>
        </w:tabs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隰县</w:t>
      </w:r>
      <w:r>
        <w:rPr>
          <w:color w:val="000000"/>
          <w:spacing w:val="0"/>
          <w:w w:val="100"/>
          <w:position w:val="0"/>
        </w:rPr>
        <w:t>就业见习岗位</w:t>
      </w:r>
      <w:r>
        <w:rPr>
          <w:rFonts w:hint="eastAsia"/>
          <w:u w:val="none"/>
          <w:lang w:val="en-US" w:eastAsia="zh-CN"/>
        </w:rPr>
        <w:t>2023</w:t>
      </w:r>
      <w:r>
        <w:rPr>
          <w:color w:val="000000"/>
          <w:spacing w:val="0"/>
          <w:w w:val="100"/>
          <w:position w:val="0"/>
        </w:rPr>
        <w:t>年度计划表</w:t>
      </w:r>
      <w:bookmarkEnd w:id="0"/>
      <w:bookmarkEnd w:id="1"/>
      <w:bookmarkEnd w:id="2"/>
    </w:p>
    <w:p>
      <w:pPr>
        <w:pStyle w:val="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  <w:rPr>
          <w:rFonts w:hint="eastAsia" w:ascii="仿宋" w:hAnsi="仿宋" w:eastAsia="仿宋" w:cs="仿宋"/>
        </w:rPr>
      </w:pPr>
      <w:bookmarkStart w:id="3" w:name="bookmark5"/>
      <w:bookmarkStart w:id="4" w:name="bookmark3"/>
      <w:bookmarkStart w:id="5" w:name="bookmark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 xml:space="preserve">填报日期：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 xml:space="preserve">年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zh-CN" w:eastAsia="zh-CN" w:bidi="zh-CN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zh-CN"/>
        </w:rPr>
        <w:t xml:space="preserve">  </w:t>
      </w:r>
      <w:bookmarkEnd w:id="3"/>
      <w:bookmarkEnd w:id="4"/>
      <w:bookmarkEnd w:id="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zh-CN"/>
        </w:rPr>
        <w:t>日</w:t>
      </w:r>
    </w:p>
    <w:tbl>
      <w:tblPr>
        <w:tblStyle w:val="6"/>
        <w:tblW w:w="891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8"/>
        <w:gridCol w:w="421"/>
        <w:gridCol w:w="77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exac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单位基本信息</w:t>
            </w: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1、组织机构代码：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exac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2、单位名称：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3、现有员工：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4、单位性质：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5、联系人姓名：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tabs>
                <w:tab w:val="left" w:pos="2621"/>
                <w:tab w:val="left" w:pos="4716"/>
              </w:tabs>
              <w:bidi w:val="0"/>
              <w:spacing w:before="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电话号码：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传真号码：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邮箱地址：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exac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7、单位地址：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8：工作地点：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exac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见习岗位</w:t>
            </w: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见习岗位职责：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exac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见习内容：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exac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tabs>
                <w:tab w:val="left" w:pos="3946"/>
              </w:tabs>
              <w:bidi w:val="0"/>
              <w:spacing w:before="12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要求学历：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专业：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tabs>
                <w:tab w:val="left" w:pos="1915"/>
              </w:tabs>
              <w:bidi w:val="0"/>
              <w:spacing w:before="0" w:after="0" w:line="240" w:lineRule="auto"/>
              <w:ind w:left="0" w:right="0" w:firstLine="220" w:firstLineChars="1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见习人数：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其他见习要求：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公共就业人才服务机构审核意见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1640" w:firstLine="4200" w:firstLineChars="15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（单位公章）</w:t>
            </w:r>
          </w:p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00" w:firstLine="4480" w:firstLineChars="16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7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120" w:after="0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人社部门审核意见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right="0" w:firstLine="4200" w:firstLineChars="15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（单位公章）</w:t>
            </w:r>
          </w:p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4480" w:firstLineChars="16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年 月 日</w:t>
            </w:r>
          </w:p>
        </w:tc>
      </w:tr>
    </w:tbl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43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注：1、申请单位在递交申请表的同时，请一并提交单位组织机构代码证或企业法人营业执照复印件。</w:t>
      </w:r>
    </w:p>
    <w:p>
      <w:pPr>
        <w:pStyle w:val="25"/>
        <w:keepNext w:val="0"/>
        <w:keepLines w:val="0"/>
        <w:widowControl w:val="0"/>
        <w:shd w:val="clear" w:color="auto" w:fill="auto"/>
        <w:tabs>
          <w:tab w:val="left" w:pos="758"/>
        </w:tabs>
        <w:bidi w:val="0"/>
        <w:spacing w:before="0" w:after="0" w:line="439" w:lineRule="exact"/>
        <w:ind w:left="0" w:right="0" w:firstLine="400"/>
        <w:jc w:val="left"/>
      </w:pPr>
      <w:bookmarkStart w:id="6" w:name="bookmark6"/>
      <w:r>
        <w:rPr>
          <w:color w:val="000000"/>
          <w:spacing w:val="0"/>
          <w:w w:val="100"/>
          <w:position w:val="0"/>
        </w:rPr>
        <w:t>2</w:t>
      </w:r>
      <w:bookmarkEnd w:id="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此表一式三份，见习单位、公共就业人才服务机构、人社行政部门各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一份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25"/>
        <w:keepNext w:val="0"/>
        <w:keepLines w:val="0"/>
        <w:widowControl w:val="0"/>
        <w:shd w:val="clear" w:color="auto" w:fill="auto"/>
        <w:tabs>
          <w:tab w:val="left" w:pos="758"/>
        </w:tabs>
        <w:bidi w:val="0"/>
        <w:spacing w:before="0" w:after="0" w:line="439" w:lineRule="exact"/>
        <w:ind w:left="0" w:right="0" w:firstLine="40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7" w:name="bookmark7"/>
      <w:r>
        <w:rPr>
          <w:color w:val="000000"/>
          <w:spacing w:val="0"/>
          <w:w w:val="100"/>
          <w:position w:val="0"/>
        </w:rPr>
        <w:t>3</w:t>
      </w:r>
      <w:bookmarkEnd w:id="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此表由见习单位填写。如果申请的见习岗位多于可填写的空格数，可将此表格复印。</w:t>
      </w:r>
    </w:p>
    <w:sectPr>
      <w:headerReference r:id="rId3" w:type="default"/>
      <w:footerReference r:id="rId4" w:type="default"/>
      <w:pgSz w:w="11906" w:h="16838"/>
      <w:pgMar w:top="1157" w:right="1633" w:bottom="138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widowControl/>
      <w:suppressLineNumbers w:val="0"/>
      <w:jc w:val="center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zBmYWI2M2Q5MjgxZTdhOTQ0MDYwMDAzMDc0NDcifQ=="/>
  </w:docVars>
  <w:rsids>
    <w:rsidRoot w:val="00000000"/>
    <w:rsid w:val="01C9527A"/>
    <w:rsid w:val="02816C9E"/>
    <w:rsid w:val="02FD4D37"/>
    <w:rsid w:val="038866E1"/>
    <w:rsid w:val="03CD445E"/>
    <w:rsid w:val="042728F8"/>
    <w:rsid w:val="04795DED"/>
    <w:rsid w:val="04F63D1C"/>
    <w:rsid w:val="07963A3D"/>
    <w:rsid w:val="082611C6"/>
    <w:rsid w:val="083E5FC0"/>
    <w:rsid w:val="08EC176E"/>
    <w:rsid w:val="09E223F8"/>
    <w:rsid w:val="09FD617C"/>
    <w:rsid w:val="0AF53DB5"/>
    <w:rsid w:val="0AFC48A3"/>
    <w:rsid w:val="0B150A67"/>
    <w:rsid w:val="0B5F56D3"/>
    <w:rsid w:val="0BD93213"/>
    <w:rsid w:val="0C7037B2"/>
    <w:rsid w:val="0CEF7D4C"/>
    <w:rsid w:val="0D127FBA"/>
    <w:rsid w:val="0DBF71F4"/>
    <w:rsid w:val="0EA15CB5"/>
    <w:rsid w:val="0FB41C7C"/>
    <w:rsid w:val="0FFA2126"/>
    <w:rsid w:val="10216F63"/>
    <w:rsid w:val="114832C2"/>
    <w:rsid w:val="11DF0F53"/>
    <w:rsid w:val="11EB2F05"/>
    <w:rsid w:val="124B0821"/>
    <w:rsid w:val="1273124A"/>
    <w:rsid w:val="12DD44F4"/>
    <w:rsid w:val="13F05F91"/>
    <w:rsid w:val="15C060D5"/>
    <w:rsid w:val="16783763"/>
    <w:rsid w:val="18BF22C5"/>
    <w:rsid w:val="18F11151"/>
    <w:rsid w:val="19B77DC5"/>
    <w:rsid w:val="1A521B88"/>
    <w:rsid w:val="1C0C2706"/>
    <w:rsid w:val="1C327324"/>
    <w:rsid w:val="1C335D1D"/>
    <w:rsid w:val="1CA66FE3"/>
    <w:rsid w:val="1D461ACE"/>
    <w:rsid w:val="1D5F2BAA"/>
    <w:rsid w:val="1DA34ADA"/>
    <w:rsid w:val="1EA62243"/>
    <w:rsid w:val="1EF8029F"/>
    <w:rsid w:val="1F1D7056"/>
    <w:rsid w:val="1F45085C"/>
    <w:rsid w:val="1F88537B"/>
    <w:rsid w:val="20146634"/>
    <w:rsid w:val="219C07BC"/>
    <w:rsid w:val="21BA5440"/>
    <w:rsid w:val="223B7C21"/>
    <w:rsid w:val="237D1745"/>
    <w:rsid w:val="23C67F30"/>
    <w:rsid w:val="24315E2C"/>
    <w:rsid w:val="24934847"/>
    <w:rsid w:val="24AF6E95"/>
    <w:rsid w:val="2503311B"/>
    <w:rsid w:val="256F7006"/>
    <w:rsid w:val="25CE197B"/>
    <w:rsid w:val="25E56AB6"/>
    <w:rsid w:val="26E66CB9"/>
    <w:rsid w:val="27880519"/>
    <w:rsid w:val="28014857"/>
    <w:rsid w:val="28D210D5"/>
    <w:rsid w:val="2A306C7E"/>
    <w:rsid w:val="2A487987"/>
    <w:rsid w:val="2A7F3244"/>
    <w:rsid w:val="2AE16EB6"/>
    <w:rsid w:val="2B4E2733"/>
    <w:rsid w:val="2BD22711"/>
    <w:rsid w:val="2BD6756F"/>
    <w:rsid w:val="2CFF44E0"/>
    <w:rsid w:val="2DB25A87"/>
    <w:rsid w:val="2F121888"/>
    <w:rsid w:val="2F2A5B5E"/>
    <w:rsid w:val="2F3C2E7D"/>
    <w:rsid w:val="300506FC"/>
    <w:rsid w:val="30A66F8C"/>
    <w:rsid w:val="30E86EDB"/>
    <w:rsid w:val="31252AC2"/>
    <w:rsid w:val="319C27D4"/>
    <w:rsid w:val="31FC3FCE"/>
    <w:rsid w:val="33430BDB"/>
    <w:rsid w:val="346B483D"/>
    <w:rsid w:val="367A04EA"/>
    <w:rsid w:val="36810BA1"/>
    <w:rsid w:val="36812494"/>
    <w:rsid w:val="36C74B59"/>
    <w:rsid w:val="37DE3C9F"/>
    <w:rsid w:val="384E3D52"/>
    <w:rsid w:val="393F42CA"/>
    <w:rsid w:val="397903CC"/>
    <w:rsid w:val="397922F8"/>
    <w:rsid w:val="39CC6A88"/>
    <w:rsid w:val="3A015A23"/>
    <w:rsid w:val="3AB60975"/>
    <w:rsid w:val="3AE45EE7"/>
    <w:rsid w:val="3B720600"/>
    <w:rsid w:val="3BB70926"/>
    <w:rsid w:val="3C7F5289"/>
    <w:rsid w:val="3C9E79B7"/>
    <w:rsid w:val="3CB27C2F"/>
    <w:rsid w:val="3CE51622"/>
    <w:rsid w:val="3D9275F6"/>
    <w:rsid w:val="3F395228"/>
    <w:rsid w:val="400017AC"/>
    <w:rsid w:val="400601DC"/>
    <w:rsid w:val="40EC7EFD"/>
    <w:rsid w:val="410B48D8"/>
    <w:rsid w:val="417B0428"/>
    <w:rsid w:val="43486E2E"/>
    <w:rsid w:val="44B2323F"/>
    <w:rsid w:val="450D190E"/>
    <w:rsid w:val="460D098A"/>
    <w:rsid w:val="46342CDD"/>
    <w:rsid w:val="46E151E3"/>
    <w:rsid w:val="48810A3D"/>
    <w:rsid w:val="494B5662"/>
    <w:rsid w:val="49E62FE7"/>
    <w:rsid w:val="4A0A4505"/>
    <w:rsid w:val="4AE1205C"/>
    <w:rsid w:val="4B1C3AB6"/>
    <w:rsid w:val="4BB43AAB"/>
    <w:rsid w:val="4BB47DA2"/>
    <w:rsid w:val="4BCF1EAD"/>
    <w:rsid w:val="4C915459"/>
    <w:rsid w:val="4CFB6302"/>
    <w:rsid w:val="4D2C2328"/>
    <w:rsid w:val="4DE76A8F"/>
    <w:rsid w:val="4F3A4D74"/>
    <w:rsid w:val="4F455987"/>
    <w:rsid w:val="4FEC2E04"/>
    <w:rsid w:val="50066CB8"/>
    <w:rsid w:val="50393E3E"/>
    <w:rsid w:val="5040703F"/>
    <w:rsid w:val="50B318C5"/>
    <w:rsid w:val="52220F8D"/>
    <w:rsid w:val="53C60EF5"/>
    <w:rsid w:val="53C859DF"/>
    <w:rsid w:val="54C53DC5"/>
    <w:rsid w:val="5524313C"/>
    <w:rsid w:val="55261D60"/>
    <w:rsid w:val="556E2FC9"/>
    <w:rsid w:val="55D3144C"/>
    <w:rsid w:val="562F10EE"/>
    <w:rsid w:val="56CE688F"/>
    <w:rsid w:val="56D8114E"/>
    <w:rsid w:val="58801DB1"/>
    <w:rsid w:val="593D45F1"/>
    <w:rsid w:val="599B6AD5"/>
    <w:rsid w:val="59A5462C"/>
    <w:rsid w:val="5C187B13"/>
    <w:rsid w:val="5C5774E2"/>
    <w:rsid w:val="5C657085"/>
    <w:rsid w:val="5CC857F3"/>
    <w:rsid w:val="5CC92272"/>
    <w:rsid w:val="5D345516"/>
    <w:rsid w:val="5E606300"/>
    <w:rsid w:val="5F2A2ECD"/>
    <w:rsid w:val="5F35523D"/>
    <w:rsid w:val="604F4E7F"/>
    <w:rsid w:val="60544FCA"/>
    <w:rsid w:val="60D32F3F"/>
    <w:rsid w:val="62804A5B"/>
    <w:rsid w:val="62883DBA"/>
    <w:rsid w:val="62AC1014"/>
    <w:rsid w:val="63321C99"/>
    <w:rsid w:val="63D42E85"/>
    <w:rsid w:val="65224B80"/>
    <w:rsid w:val="655C0957"/>
    <w:rsid w:val="66D700A3"/>
    <w:rsid w:val="67146C41"/>
    <w:rsid w:val="674E1B7E"/>
    <w:rsid w:val="68A32B33"/>
    <w:rsid w:val="69E904DC"/>
    <w:rsid w:val="69EB1A52"/>
    <w:rsid w:val="6A2132E5"/>
    <w:rsid w:val="6A540351"/>
    <w:rsid w:val="6B3B789E"/>
    <w:rsid w:val="6B8764E9"/>
    <w:rsid w:val="6CA12B97"/>
    <w:rsid w:val="6CCC2052"/>
    <w:rsid w:val="6F673539"/>
    <w:rsid w:val="70F31C6E"/>
    <w:rsid w:val="71513FD0"/>
    <w:rsid w:val="71D14C2E"/>
    <w:rsid w:val="72C47013"/>
    <w:rsid w:val="743F4287"/>
    <w:rsid w:val="75A2590D"/>
    <w:rsid w:val="76C50096"/>
    <w:rsid w:val="771260ED"/>
    <w:rsid w:val="77150285"/>
    <w:rsid w:val="77752BE1"/>
    <w:rsid w:val="77AD5B4E"/>
    <w:rsid w:val="7AC841C5"/>
    <w:rsid w:val="7B083689"/>
    <w:rsid w:val="7B8C63B6"/>
    <w:rsid w:val="7C6C0EE7"/>
    <w:rsid w:val="7D2F5C7A"/>
    <w:rsid w:val="7E3701E1"/>
    <w:rsid w:val="7F63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2B2B2B"/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2B2B2B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2B2B2B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u-save"/>
    <w:basedOn w:val="7"/>
    <w:qFormat/>
    <w:uiPriority w:val="0"/>
  </w:style>
  <w:style w:type="character" w:customStyle="1" w:styleId="17">
    <w:name w:val="font"/>
    <w:basedOn w:val="7"/>
    <w:qFormat/>
    <w:uiPriority w:val="0"/>
  </w:style>
  <w:style w:type="character" w:customStyle="1" w:styleId="18">
    <w:name w:val="font1"/>
    <w:basedOn w:val="7"/>
    <w:qFormat/>
    <w:uiPriority w:val="0"/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Body text|2"/>
    <w:basedOn w:val="1"/>
    <w:qFormat/>
    <w:uiPriority w:val="0"/>
    <w:pPr>
      <w:widowControl w:val="0"/>
      <w:shd w:val="clear" w:color="auto" w:fill="auto"/>
      <w:spacing w:after="300"/>
      <w:ind w:firstLine="26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1">
    <w:name w:val="Heading #1|1"/>
    <w:basedOn w:val="1"/>
    <w:qFormat/>
    <w:uiPriority w:val="0"/>
    <w:pPr>
      <w:widowControl w:val="0"/>
      <w:shd w:val="clear" w:color="auto" w:fill="auto"/>
      <w:spacing w:after="38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2">
    <w:name w:val="Heading #2|1"/>
    <w:basedOn w:val="1"/>
    <w:qFormat/>
    <w:uiPriority w:val="0"/>
    <w:pPr>
      <w:widowControl w:val="0"/>
      <w:shd w:val="clear" w:color="auto" w:fill="auto"/>
      <w:ind w:right="480"/>
      <w:jc w:val="right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Other|2"/>
    <w:basedOn w:val="1"/>
    <w:qFormat/>
    <w:uiPriority w:val="0"/>
    <w:pPr>
      <w:widowControl w:val="0"/>
      <w:shd w:val="clear" w:color="auto" w:fill="auto"/>
      <w:spacing w:before="60" w:line="295" w:lineRule="exact"/>
      <w:ind w:left="430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4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2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1295</Words>
  <Characters>1336</Characters>
  <Lines>0</Lines>
  <Paragraphs>0</Paragraphs>
  <TotalTime>12</TotalTime>
  <ScaleCrop>false</ScaleCrop>
  <LinksUpToDate>false</LinksUpToDate>
  <CharactersWithSpaces>1399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2023-07-18T08:49:00Z</cp:lastPrinted>
  <dcterms:modified xsi:type="dcterms:W3CDTF">2023-07-21T01:55:19Z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2F8C67E868A140689BA4908B35F8EACD</vt:lpwstr>
  </property>
</Properties>
</file>